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8077" w14:textId="d6f8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использования документов, предусмотренных актами Всемирного почтового союза, в качестве таможенной декларации</w:t>
      </w:r>
    </w:p>
    <w:p>
      <w:pPr>
        <w:spacing w:after="0"/>
        <w:ind w:left="0"/>
        <w:jc w:val="both"/>
      </w:pPr>
      <w:r>
        <w:rPr>
          <w:rFonts w:ascii="Times New Roman"/>
          <w:b w:val="false"/>
          <w:i w:val="false"/>
          <w:color w:val="000000"/>
          <w:sz w:val="28"/>
        </w:rPr>
        <w:t>Решение Комиссии таможенного союза от 18 июня 2010 года № 310</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статьями 180</w:t>
      </w:r>
      <w:r>
        <w:rPr>
          <w:rFonts w:ascii="Times New Roman"/>
          <w:b w:val="false"/>
          <w:i w:val="false"/>
          <w:color w:val="000000"/>
          <w:sz w:val="28"/>
        </w:rPr>
        <w:t xml:space="preserve"> и </w:t>
      </w:r>
      <w:r>
        <w:rPr>
          <w:rFonts w:ascii="Times New Roman"/>
          <w:b w:val="false"/>
          <w:i w:val="false"/>
          <w:color w:val="000000"/>
          <w:sz w:val="28"/>
        </w:rPr>
        <w:t>314</w:t>
      </w:r>
      <w:r>
        <w:rPr>
          <w:rFonts w:ascii="Times New Roman"/>
          <w:b w:val="false"/>
          <w:i w:val="false"/>
          <w:color w:val="000000"/>
          <w:sz w:val="28"/>
        </w:rPr>
        <w:t xml:space="preserve"> Таможенного кодекса таможенного союза Комиссия таможенного союза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Инструкцию о порядке использования документов, предусмотренных актами Всемирного почтового союза, в качестве таможенной декларации (прилагается).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утвержденного Решением Межгосударственного совета ЕврАзЭС от 27 ноября 2009 г. № 17.</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313"/>
        <w:gridCol w:w="431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Кобяков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4"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18 июня 2010 года № 310   </w:t>
      </w:r>
    </w:p>
    <w:bookmarkEnd w:id="1"/>
    <w:bookmarkStart w:name="z5" w:id="2"/>
    <w:p>
      <w:pPr>
        <w:spacing w:after="0"/>
        <w:ind w:left="0"/>
        <w:jc w:val="left"/>
      </w:pPr>
      <w:r>
        <w:rPr>
          <w:rFonts w:ascii="Times New Roman"/>
          <w:b/>
          <w:i w:val="false"/>
          <w:color w:val="000000"/>
        </w:rPr>
        <w:t xml:space="preserve"> 
Инструкция</w:t>
      </w:r>
      <w:r>
        <w:br/>
      </w:r>
      <w:r>
        <w:rPr>
          <w:rFonts w:ascii="Times New Roman"/>
          <w:b/>
          <w:i w:val="false"/>
          <w:color w:val="000000"/>
        </w:rPr>
        <w:t>
о порядке использования документов, предусмотренных актами</w:t>
      </w:r>
      <w:r>
        <w:br/>
      </w:r>
      <w:r>
        <w:rPr>
          <w:rFonts w:ascii="Times New Roman"/>
          <w:b/>
          <w:i w:val="false"/>
          <w:color w:val="000000"/>
        </w:rPr>
        <w:t>
Всемирного почтового союза, в качестве таможенной декларации I. Общие положения</w:t>
      </w:r>
    </w:p>
    <w:bookmarkEnd w:id="2"/>
    <w:bookmarkStart w:name="z6" w:id="3"/>
    <w:p>
      <w:pPr>
        <w:spacing w:after="0"/>
        <w:ind w:left="0"/>
        <w:jc w:val="both"/>
      </w:pPr>
      <w:r>
        <w:rPr>
          <w:rFonts w:ascii="Times New Roman"/>
          <w:b w:val="false"/>
          <w:i w:val="false"/>
          <w:color w:val="000000"/>
          <w:sz w:val="28"/>
        </w:rPr>
        <w:t>
      1. Настоящая Инструкция о порядке использования документов, предусмотренных актами Всемирного почтового союза, в качестве таможенной декларации (далее – Инструкция) разработана в соответствии со </w:t>
      </w:r>
      <w:r>
        <w:rPr>
          <w:rFonts w:ascii="Times New Roman"/>
          <w:b w:val="false"/>
          <w:i w:val="false"/>
          <w:color w:val="000000"/>
          <w:sz w:val="28"/>
        </w:rPr>
        <w:t>статьями 180</w:t>
      </w:r>
      <w:r>
        <w:rPr>
          <w:rFonts w:ascii="Times New Roman"/>
          <w:b w:val="false"/>
          <w:i w:val="false"/>
          <w:color w:val="000000"/>
          <w:sz w:val="28"/>
        </w:rPr>
        <w:t xml:space="preserve"> и </w:t>
      </w:r>
      <w:r>
        <w:rPr>
          <w:rFonts w:ascii="Times New Roman"/>
          <w:b w:val="false"/>
          <w:i w:val="false"/>
          <w:color w:val="000000"/>
          <w:sz w:val="28"/>
        </w:rPr>
        <w:t>314</w:t>
      </w:r>
      <w:r>
        <w:rPr>
          <w:rFonts w:ascii="Times New Roman"/>
          <w:b w:val="false"/>
          <w:i w:val="false"/>
          <w:color w:val="000000"/>
          <w:sz w:val="28"/>
        </w:rPr>
        <w:t xml:space="preserve"> Таможенного кодекса таможенного союза (далее – Кодекс) и определяет порядок использования документов, предусмотренных актами Всемирного почтового союза, сопровождающих международные почтовые отправления, в качестве декларации на товары и транзитной декларации при таможенном декларировании и выпуске товаров, пересылаемых в международных почтовых отправлениях.</w:t>
      </w:r>
    </w:p>
    <w:bookmarkEnd w:id="3"/>
    <w:bookmarkStart w:name="z7" w:id="4"/>
    <w:p>
      <w:pPr>
        <w:spacing w:after="0"/>
        <w:ind w:left="0"/>
        <w:jc w:val="left"/>
      </w:pPr>
      <w:r>
        <w:rPr>
          <w:rFonts w:ascii="Times New Roman"/>
          <w:b/>
          <w:i w:val="false"/>
          <w:color w:val="000000"/>
        </w:rPr>
        <w:t xml:space="preserve"> 
II. Документы, предусмотренные актами Всемирного почтового</w:t>
      </w:r>
      <w:r>
        <w:br/>
      </w:r>
      <w:r>
        <w:rPr>
          <w:rFonts w:ascii="Times New Roman"/>
          <w:b/>
          <w:i w:val="false"/>
          <w:color w:val="000000"/>
        </w:rPr>
        <w:t>
союза, принимаемые таможенными органами в качестве</w:t>
      </w:r>
      <w:r>
        <w:br/>
      </w:r>
      <w:r>
        <w:rPr>
          <w:rFonts w:ascii="Times New Roman"/>
          <w:b/>
          <w:i w:val="false"/>
          <w:color w:val="000000"/>
        </w:rPr>
        <w:t>
транзитной декларации</w:t>
      </w:r>
    </w:p>
    <w:bookmarkEnd w:id="4"/>
    <w:bookmarkStart w:name="z8" w:id="5"/>
    <w:p>
      <w:pPr>
        <w:spacing w:after="0"/>
        <w:ind w:left="0"/>
        <w:jc w:val="both"/>
      </w:pPr>
      <w:r>
        <w:rPr>
          <w:rFonts w:ascii="Times New Roman"/>
          <w:b w:val="false"/>
          <w:i w:val="false"/>
          <w:color w:val="000000"/>
          <w:sz w:val="28"/>
        </w:rPr>
        <w:t>
      2. В качестве транзитной декларации таможенным органом отправления принимаются накладные сдачи CN 37, CN 38, CN 41, CN 46, CN 47, формы которых установлены актами Всемирного почтового союза, сопровождающие международные почтовые отправления при их перевозке, содержащие сведения о (об):</w:t>
      </w:r>
      <w:r>
        <w:br/>
      </w:r>
      <w:r>
        <w:rPr>
          <w:rFonts w:ascii="Times New Roman"/>
          <w:b w:val="false"/>
          <w:i w:val="false"/>
          <w:color w:val="000000"/>
          <w:sz w:val="28"/>
        </w:rPr>
        <w:t>
      отправителе (назначенный оператор страны подачи) и получателе международных почтовых отправлений (учреждение обмена назначения);</w:t>
      </w:r>
      <w:r>
        <w:br/>
      </w:r>
      <w:r>
        <w:rPr>
          <w:rFonts w:ascii="Times New Roman"/>
          <w:b w:val="false"/>
          <w:i w:val="false"/>
          <w:color w:val="000000"/>
          <w:sz w:val="28"/>
        </w:rPr>
        <w:t>
      стране отправления и стране назначения международных почтовых отправлениях (страна учреждения обмена подачи, страна учреждения обмена назначения);</w:t>
      </w:r>
      <w:r>
        <w:br/>
      </w:r>
      <w:r>
        <w:rPr>
          <w:rFonts w:ascii="Times New Roman"/>
          <w:b w:val="false"/>
          <w:i w:val="false"/>
          <w:color w:val="000000"/>
          <w:sz w:val="28"/>
        </w:rPr>
        <w:t>
      перевозчике;</w:t>
      </w:r>
      <w:r>
        <w:br/>
      </w:r>
      <w:r>
        <w:rPr>
          <w:rFonts w:ascii="Times New Roman"/>
          <w:b w:val="false"/>
          <w:i w:val="false"/>
          <w:color w:val="000000"/>
          <w:sz w:val="28"/>
        </w:rPr>
        <w:t>
      транспортном средстве международной перевозки;</w:t>
      </w:r>
      <w:r>
        <w:br/>
      </w:r>
      <w:r>
        <w:rPr>
          <w:rFonts w:ascii="Times New Roman"/>
          <w:b w:val="false"/>
          <w:i w:val="false"/>
          <w:color w:val="000000"/>
          <w:sz w:val="28"/>
        </w:rPr>
        <w:t>
      номерах депеш;</w:t>
      </w:r>
      <w:r>
        <w:br/>
      </w:r>
      <w:r>
        <w:rPr>
          <w:rFonts w:ascii="Times New Roman"/>
          <w:b w:val="false"/>
          <w:i w:val="false"/>
          <w:color w:val="000000"/>
          <w:sz w:val="28"/>
        </w:rPr>
        <w:t>
      весе товаров брутто;</w:t>
      </w:r>
      <w:r>
        <w:br/>
      </w:r>
      <w:r>
        <w:rPr>
          <w:rFonts w:ascii="Times New Roman"/>
          <w:b w:val="false"/>
          <w:i w:val="false"/>
          <w:color w:val="000000"/>
          <w:sz w:val="28"/>
        </w:rPr>
        <w:t>
      количестве грузовых мест;</w:t>
      </w:r>
      <w:r>
        <w:br/>
      </w:r>
      <w:r>
        <w:rPr>
          <w:rFonts w:ascii="Times New Roman"/>
          <w:b w:val="false"/>
          <w:i w:val="false"/>
          <w:color w:val="000000"/>
          <w:sz w:val="28"/>
        </w:rPr>
        <w:t>
      планируемой перегрузке товаров или грузовых операциях в пути;</w:t>
      </w:r>
      <w:r>
        <w:br/>
      </w:r>
      <w:r>
        <w:rPr>
          <w:rFonts w:ascii="Times New Roman"/>
          <w:b w:val="false"/>
          <w:i w:val="false"/>
          <w:color w:val="000000"/>
          <w:sz w:val="28"/>
        </w:rPr>
        <w:t>
      пункте назначения (учреждение обмена назначения) международных почтовых отправлений.</w:t>
      </w:r>
      <w:r>
        <w:br/>
      </w:r>
      <w:r>
        <w:rPr>
          <w:rFonts w:ascii="Times New Roman"/>
          <w:b w:val="false"/>
          <w:i w:val="false"/>
          <w:color w:val="000000"/>
          <w:sz w:val="28"/>
        </w:rPr>
        <w:t>
</w:t>
      </w:r>
      <w:r>
        <w:rPr>
          <w:rFonts w:ascii="Times New Roman"/>
          <w:b w:val="false"/>
          <w:i w:val="false"/>
          <w:color w:val="000000"/>
          <w:sz w:val="28"/>
        </w:rPr>
        <w:t>
      3. Накладные сдачи CN 37, CN 38, CN 41, CN 47 заполняются учреждением обмена подачи и должны содержать печать такого учреждения, подпись служащего такого учреждения и дату составления накладной.</w:t>
      </w:r>
      <w:r>
        <w:br/>
      </w:r>
      <w:r>
        <w:rPr>
          <w:rFonts w:ascii="Times New Roman"/>
          <w:b w:val="false"/>
          <w:i w:val="false"/>
          <w:color w:val="000000"/>
          <w:sz w:val="28"/>
        </w:rPr>
        <w:t>
      При перемещении международных почтовых отправлений воздушным транспортом, когда отсутствует оригинал накладной сдачи CN 38 или CN 41, представляется заменяющая накладная сдачи CN 46, которую имеет право составить авиаперевозчик. При этом накладная сдачи должна быть удостоверена путем проставления подписи лица, ее составившего, и заверена авиаперевозчиком.</w:t>
      </w:r>
    </w:p>
    <w:bookmarkEnd w:id="5"/>
    <w:bookmarkStart w:name="z10" w:id="6"/>
    <w:p>
      <w:pPr>
        <w:spacing w:after="0"/>
        <w:ind w:left="0"/>
        <w:jc w:val="left"/>
      </w:pPr>
      <w:r>
        <w:rPr>
          <w:rFonts w:ascii="Times New Roman"/>
          <w:b/>
          <w:i w:val="false"/>
          <w:color w:val="000000"/>
        </w:rPr>
        <w:t xml:space="preserve"> 
III. Документы, предусмотренные актами Всемирного почтового союза, принимаемые таможенными органами в качестве декларации на товары</w:t>
      </w:r>
    </w:p>
    <w:bookmarkEnd w:id="6"/>
    <w:bookmarkStart w:name="z11" w:id="7"/>
    <w:p>
      <w:pPr>
        <w:spacing w:after="0"/>
        <w:ind w:left="0"/>
        <w:jc w:val="both"/>
      </w:pPr>
      <w:r>
        <w:rPr>
          <w:rFonts w:ascii="Times New Roman"/>
          <w:b w:val="false"/>
          <w:i w:val="false"/>
          <w:color w:val="000000"/>
          <w:sz w:val="28"/>
        </w:rPr>
        <w:t>
      4. В качестве декларации на товары, за исключением случаев, предусмотренных подпунктами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пункта 3 статьи 314 Таможенного кодекса таможенного союза, таможенным органом принимаются таможенные декларации CN 22 или CN 23, сопроводительный адрес СР 71, бланк-пачка СР 72, бланк Е 1 (или его эквивалент ярлык ЕМS), формы которых установлены актами Всемирного почтового союза, сопровождающие международные почтовые отправления, содержащие в совокупности со сведениями, указанными на международном почтовом отправлении, сведения о (об):</w:t>
      </w:r>
      <w:r>
        <w:br/>
      </w:r>
      <w:r>
        <w:rPr>
          <w:rFonts w:ascii="Times New Roman"/>
          <w:b w:val="false"/>
          <w:i w:val="false"/>
          <w:color w:val="000000"/>
          <w:sz w:val="28"/>
        </w:rPr>
        <w:t>
      отправителе и  получателе товаров и их адресных данных;</w:t>
      </w:r>
      <w:r>
        <w:br/>
      </w:r>
      <w:r>
        <w:rPr>
          <w:rFonts w:ascii="Times New Roman"/>
          <w:b w:val="false"/>
          <w:i w:val="false"/>
          <w:color w:val="000000"/>
          <w:sz w:val="28"/>
        </w:rPr>
        <w:t>
      стране отправления и стране назначения товаров;</w:t>
      </w:r>
      <w:r>
        <w:br/>
      </w:r>
      <w:r>
        <w:rPr>
          <w:rFonts w:ascii="Times New Roman"/>
          <w:b w:val="false"/>
          <w:i w:val="false"/>
          <w:color w:val="000000"/>
          <w:sz w:val="28"/>
        </w:rPr>
        <w:t>
      наименовании и количестве товаров;</w:t>
      </w:r>
      <w:r>
        <w:br/>
      </w:r>
      <w:r>
        <w:rPr>
          <w:rFonts w:ascii="Times New Roman"/>
          <w:b w:val="false"/>
          <w:i w:val="false"/>
          <w:color w:val="000000"/>
          <w:sz w:val="28"/>
        </w:rPr>
        <w:t>
      стоимости товаров и валюте оценки;</w:t>
      </w:r>
      <w:r>
        <w:br/>
      </w:r>
      <w:r>
        <w:rPr>
          <w:rFonts w:ascii="Times New Roman"/>
          <w:b w:val="false"/>
          <w:i w:val="false"/>
          <w:color w:val="000000"/>
          <w:sz w:val="28"/>
        </w:rPr>
        <w:t>
      весе товаров брутто;</w:t>
      </w:r>
      <w:r>
        <w:br/>
      </w:r>
      <w:r>
        <w:rPr>
          <w:rFonts w:ascii="Times New Roman"/>
          <w:b w:val="false"/>
          <w:i w:val="false"/>
          <w:color w:val="000000"/>
          <w:sz w:val="28"/>
        </w:rPr>
        <w:t>
      коде товара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 (за исключением пересылаемых физическим лицом товаров для личного пользования);</w:t>
      </w:r>
      <w:r>
        <w:br/>
      </w:r>
      <w:r>
        <w:rPr>
          <w:rFonts w:ascii="Times New Roman"/>
          <w:b w:val="false"/>
          <w:i w:val="false"/>
          <w:color w:val="000000"/>
          <w:sz w:val="28"/>
        </w:rPr>
        <w:t>
      стране происхождения товара (за исключением пересылаемых физическим лицом товаров для личного пользования).</w:t>
      </w:r>
      <w:r>
        <w:br/>
      </w:r>
      <w:r>
        <w:rPr>
          <w:rFonts w:ascii="Times New Roman"/>
          <w:b w:val="false"/>
          <w:i w:val="false"/>
          <w:color w:val="000000"/>
          <w:sz w:val="28"/>
        </w:rPr>
        <w:t>
      Таможенные декларации CN 22 или CN 23, сопроводительный адрес СР 71, бланк-пачка СР 72, бланк Е 1 должны содержать подпись отправителя.</w:t>
      </w:r>
      <w:r>
        <w:br/>
      </w:r>
      <w:r>
        <w:rPr>
          <w:rFonts w:ascii="Times New Roman"/>
          <w:b w:val="false"/>
          <w:i w:val="false"/>
          <w:color w:val="000000"/>
          <w:sz w:val="28"/>
        </w:rPr>
        <w:t>
</w:t>
      </w:r>
      <w:r>
        <w:rPr>
          <w:rFonts w:ascii="Times New Roman"/>
          <w:b w:val="false"/>
          <w:i w:val="false"/>
          <w:color w:val="000000"/>
          <w:sz w:val="28"/>
        </w:rPr>
        <w:t>
      5. Таможенные декларации CN 22, CN 23, сопроводительный адрес СР 71, бланк-пачка СР 72, бланк Е 1 заполняются отправителем товаров путем указания сведений о пересылаемых товарах в бланках указанных документов в соответствии с расположенным на них печатным текстом.</w:t>
      </w:r>
      <w:r>
        <w:br/>
      </w:r>
      <w:r>
        <w:rPr>
          <w:rFonts w:ascii="Times New Roman"/>
          <w:b w:val="false"/>
          <w:i w:val="false"/>
          <w:color w:val="000000"/>
          <w:sz w:val="28"/>
        </w:rPr>
        <w:t>
      При отсутствии необходимого количества экземпляров таможенной декларации CN 23 оператором почтовой связи должны быть представлены ее копии.</w:t>
      </w:r>
      <w:r>
        <w:br/>
      </w:r>
      <w:r>
        <w:rPr>
          <w:rFonts w:ascii="Times New Roman"/>
          <w:b w:val="false"/>
          <w:i w:val="false"/>
          <w:color w:val="000000"/>
          <w:sz w:val="28"/>
        </w:rPr>
        <w:t>
      В случае отсутствия в таможенных декларациях CN 22, CN 23, сопроводительном адресе СР 71, бланк-пачке СР 72, бланке Е 1 необходимых для таможенных целей сведений, таможенному органу могут представляться иные документы, сопровождающие международные почтовые отправления и содержащие недостающие сведения, либо такие сведения могут быть получены при проведении таможенного контроля.</w:t>
      </w:r>
    </w:p>
    <w:bookmarkEnd w:id="7"/>
    <w:bookmarkStart w:name="z13" w:id="8"/>
    <w:p>
      <w:pPr>
        <w:spacing w:after="0"/>
        <w:ind w:left="0"/>
        <w:jc w:val="left"/>
      </w:pPr>
      <w:r>
        <w:rPr>
          <w:rFonts w:ascii="Times New Roman"/>
          <w:b/>
          <w:i w:val="false"/>
          <w:color w:val="000000"/>
        </w:rPr>
        <w:t xml:space="preserve"> 
IV. Таможенное декларирование товаров, пересылаемых в</w:t>
      </w:r>
      <w:r>
        <w:br/>
      </w:r>
      <w:r>
        <w:rPr>
          <w:rFonts w:ascii="Times New Roman"/>
          <w:b/>
          <w:i w:val="false"/>
          <w:color w:val="000000"/>
        </w:rPr>
        <w:t>
международных почтовых отправлениях, подлежащих возврату</w:t>
      </w:r>
      <w:r>
        <w:br/>
      </w:r>
      <w:r>
        <w:rPr>
          <w:rFonts w:ascii="Times New Roman"/>
          <w:b/>
          <w:i w:val="false"/>
          <w:color w:val="000000"/>
        </w:rPr>
        <w:t>
отправителю в случаях, установленных актами</w:t>
      </w:r>
      <w:r>
        <w:br/>
      </w:r>
      <w:r>
        <w:rPr>
          <w:rFonts w:ascii="Times New Roman"/>
          <w:b/>
          <w:i w:val="false"/>
          <w:color w:val="000000"/>
        </w:rPr>
        <w:t>
Всемирного почтового союза</w:t>
      </w:r>
    </w:p>
    <w:bookmarkEnd w:id="8"/>
    <w:bookmarkStart w:name="z14" w:id="9"/>
    <w:p>
      <w:pPr>
        <w:spacing w:after="0"/>
        <w:ind w:left="0"/>
        <w:jc w:val="both"/>
      </w:pPr>
      <w:r>
        <w:rPr>
          <w:rFonts w:ascii="Times New Roman"/>
          <w:b w:val="false"/>
          <w:i w:val="false"/>
          <w:color w:val="000000"/>
          <w:sz w:val="28"/>
        </w:rPr>
        <w:t>
      6. В качестве декларации на товары, в отношении товаров, подлежащих возврату отправителю в случаях, установленных актами Всемирного почтового союза, таможенным органом принимается письменное заявление оператора почтовой связи, с приложением документов, предусмотренных актами Всемирного почтового союза, сопровождавших международное почтовое отправление, содержащее сведения о (об):</w:t>
      </w:r>
      <w:r>
        <w:br/>
      </w:r>
      <w:r>
        <w:rPr>
          <w:rFonts w:ascii="Times New Roman"/>
          <w:b w:val="false"/>
          <w:i w:val="false"/>
          <w:color w:val="000000"/>
          <w:sz w:val="28"/>
        </w:rPr>
        <w:t>
      номере международного почтового отправления;</w:t>
      </w:r>
      <w:r>
        <w:br/>
      </w:r>
      <w:r>
        <w:rPr>
          <w:rFonts w:ascii="Times New Roman"/>
          <w:b w:val="false"/>
          <w:i w:val="false"/>
          <w:color w:val="000000"/>
          <w:sz w:val="28"/>
        </w:rPr>
        <w:t>
      отправителе и получателе товаров и их адресных данных;</w:t>
      </w:r>
      <w:r>
        <w:br/>
      </w:r>
      <w:r>
        <w:rPr>
          <w:rFonts w:ascii="Times New Roman"/>
          <w:b w:val="false"/>
          <w:i w:val="false"/>
          <w:color w:val="000000"/>
          <w:sz w:val="28"/>
        </w:rPr>
        <w:t>
      стране отправления и стране назначения товаров;</w:t>
      </w:r>
      <w:r>
        <w:br/>
      </w:r>
      <w:r>
        <w:rPr>
          <w:rFonts w:ascii="Times New Roman"/>
          <w:b w:val="false"/>
          <w:i w:val="false"/>
          <w:color w:val="000000"/>
          <w:sz w:val="28"/>
        </w:rPr>
        <w:t>
      весе товаров брутто;</w:t>
      </w:r>
      <w:r>
        <w:br/>
      </w:r>
      <w:r>
        <w:rPr>
          <w:rFonts w:ascii="Times New Roman"/>
          <w:b w:val="false"/>
          <w:i w:val="false"/>
          <w:color w:val="000000"/>
          <w:sz w:val="28"/>
        </w:rPr>
        <w:t>
      причине возврата.</w:t>
      </w:r>
      <w:r>
        <w:br/>
      </w:r>
      <w:r>
        <w:rPr>
          <w:rFonts w:ascii="Times New Roman"/>
          <w:b w:val="false"/>
          <w:i w:val="false"/>
          <w:color w:val="000000"/>
          <w:sz w:val="28"/>
        </w:rPr>
        <w:t>
      Заявление должно быть заверено подписью служащего учреждения обмена подачи, печатью такого учреждения.</w:t>
      </w:r>
      <w:r>
        <w:br/>
      </w:r>
      <w:r>
        <w:rPr>
          <w:rFonts w:ascii="Times New Roman"/>
          <w:b w:val="false"/>
          <w:i w:val="false"/>
          <w:color w:val="000000"/>
          <w:sz w:val="28"/>
        </w:rPr>
        <w:t>
      Заявление может быть подано в отношении нескольких международных почтовых отправлений.</w:t>
      </w:r>
      <w:r>
        <w:br/>
      </w:r>
      <w:r>
        <w:rPr>
          <w:rFonts w:ascii="Times New Roman"/>
          <w:b w:val="false"/>
          <w:i w:val="false"/>
          <w:color w:val="000000"/>
          <w:sz w:val="28"/>
        </w:rPr>
        <w:t>
</w:t>
      </w:r>
      <w:r>
        <w:rPr>
          <w:rFonts w:ascii="Times New Roman"/>
          <w:b w:val="false"/>
          <w:i w:val="false"/>
          <w:color w:val="000000"/>
          <w:sz w:val="28"/>
        </w:rPr>
        <w:t>
      7. Международное почтовое отправление, подлежащее возврату отправителю, должно содержать отметки о возврате, предусмотренные актами Всемирного почтового союза.</w:t>
      </w:r>
    </w:p>
    <w:bookmarkEnd w:id="9"/>
    <w:bookmarkStart w:name="z16" w:id="10"/>
    <w:p>
      <w:pPr>
        <w:spacing w:after="0"/>
        <w:ind w:left="0"/>
        <w:jc w:val="left"/>
      </w:pPr>
      <w:r>
        <w:rPr>
          <w:rFonts w:ascii="Times New Roman"/>
          <w:b/>
          <w:i w:val="false"/>
          <w:color w:val="000000"/>
        </w:rPr>
        <w:t xml:space="preserve"> 
V. Заключительные положения</w:t>
      </w:r>
    </w:p>
    <w:bookmarkEnd w:id="10"/>
    <w:bookmarkStart w:name="z17" w:id="11"/>
    <w:p>
      <w:pPr>
        <w:spacing w:after="0"/>
        <w:ind w:left="0"/>
        <w:jc w:val="both"/>
      </w:pPr>
      <w:r>
        <w:rPr>
          <w:rFonts w:ascii="Times New Roman"/>
          <w:b w:val="false"/>
          <w:i w:val="false"/>
          <w:color w:val="000000"/>
          <w:sz w:val="28"/>
        </w:rPr>
        <w:t>
      8. В качестве декларации на товары, в отношении международных почтовых отправлений, предъявление которых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315 Таможенного кодекса таможенного союза, таможенные органы не требуют, могут использоваться документы, предусмотренные актами Всемирного почтового союза, сопровождающие такие международные почтовые отправления.</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