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387e" w14:textId="e0a3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в сфере ветеринарного контроля (надзора)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форму реестра организаций и лиц, осуществляющих производство, переработку и (или) хранение подконтрольных товаров, перемещаемых с территории одного государства – члена Таможенного союза на территорию другого государства – члена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форму реестра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технические условия по формату и регламенту передачи данных форм реестров организаций и лиц, осуществляющих производство, переработку и (или) хранение подконтрольных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план разработки и утверждения проектов документов по направлению «Ветеринарные меры»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изменения в Единые ветеринарные (ветеринарно-санитарные) требования, предъявляемые к товарам, подлежащим ветеринарному контролю (надзору),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(</w:t>
      </w:r>
      <w:r>
        <w:rPr>
          <w:rFonts w:ascii="Times New Roman"/>
          <w:b w:val="false"/>
          <w:i w:val="false"/>
          <w:color w:val="000000"/>
          <w:sz w:val="28"/>
        </w:rPr>
        <w:t>прилагаются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изменения в Положение о Едином порядке осуществления ветеринарного контроля на таможенной границе Таможенного союза и таможенной территории Таможенного союза,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(</w:t>
      </w:r>
      <w:r>
        <w:rPr>
          <w:rFonts w:ascii="Times New Roman"/>
          <w:b w:val="false"/>
          <w:i w:val="false"/>
          <w:color w:val="000000"/>
          <w:sz w:val="28"/>
        </w:rPr>
        <w:t>прилагаются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Поддержать предложение рабочей группы по направлению «Ветеринарные меры» о целесообразности разработки уполномоченными органами Сторон в области применения ветеринарных мер совместно с Секретариатом Комиссии Таможенного союза (далее – Секретариат) временной автоматизированной технологии информационного обмена сведениями о выданных разрешениях в отношении товаров, включенных в Единый перечень товаров, подлежащих ветеринарному контролю (надзору),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(далее – Единый перечень товаров), предусмотрев при этом обеспечение передачи соответствующих данных в пункты пропуска на таможенной границе Таможенного союза, а также учета данных в этих пунктах пропуска и местах назначения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заявление российской Стороны о предоставлении белорусской Стороне права пользования Информационной системой «Аргус» (ИС «Аргус»)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Российской Стороне с привлечением экспертов белорусской Стороны в срок до 1 октября 2010 года обеспечить доработку ИС «Аргус» в соответствии с техническими требованиями белорусской Стороны в части оформления разрешений на ввоз/вывоз/транзит и учета прохождения подконтрольных товаров в пунктах пропуска на таможенной границе Таможенного союза и в местах назначения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Казахстанской Стороне в срок до 1 октября 2010 года обеспечить доработку национальной системы в области ветеринарного контроля (надзора) в части передачи информации в пункты пропусков на государственной границе и учета данных в пункте назначения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Уполномоченным органам Сторон в области применения ветеринарных мер совместно с Секретариатом в целях обеспечения ведения реестров, указанных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в срок до 1 октября 2010 года разработать временную автоматизированную технологию информационного обмена о выданных разрешениях на импорт, экспорт, транзит товаров, включенных в Единый перечень товаров, и об учете указанных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обеспечить передачу c 1 октября 2010 года в Секретариат информации, сформированной в национальных системах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353"/>
        <w:gridCol w:w="329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2010 года № 342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организаций и лиц, осуществляющих производство, переработку</w:t>
      </w:r>
      <w:r>
        <w:br/>
      </w:r>
      <w:r>
        <w:rPr>
          <w:rFonts w:ascii="Times New Roman"/>
          <w:b/>
          <w:i w:val="false"/>
          <w:color w:val="000000"/>
        </w:rPr>
        <w:t>
и (или) хранение подконтрольных товаров, перемещаемых</w:t>
      </w:r>
      <w:r>
        <w:br/>
      </w:r>
      <w:r>
        <w:rPr>
          <w:rFonts w:ascii="Times New Roman"/>
          <w:b/>
          <w:i w:val="false"/>
          <w:color w:val="000000"/>
        </w:rPr>
        <w:t>
с территории одного государства–члена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на территорию другого государства–члена Таможенного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       Вид продукции: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721"/>
        <w:gridCol w:w="1682"/>
        <w:gridCol w:w="1682"/>
        <w:gridCol w:w="2130"/>
        <w:gridCol w:w="1238"/>
        <w:gridCol w:w="1219"/>
        <w:gridCol w:w="1473"/>
        <w:gridCol w:w="1741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уезд)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троль)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чений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2010 года № 342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организаций и лиц, осуществляющих производство, переработку</w:t>
      </w:r>
      <w:r>
        <w:br/>
      </w:r>
      <w:r>
        <w:rPr>
          <w:rFonts w:ascii="Times New Roman"/>
          <w:b/>
          <w:i w:val="false"/>
          <w:color w:val="000000"/>
        </w:rPr>
        <w:t>
и (или) хранение подконтрольных товаров, ввозимых</w:t>
      </w:r>
      <w:r>
        <w:br/>
      </w:r>
      <w:r>
        <w:rPr>
          <w:rFonts w:ascii="Times New Roman"/>
          <w:b/>
          <w:i w:val="false"/>
          <w:color w:val="000000"/>
        </w:rPr>
        <w:t>
на таможенную территорию Таможенного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     </w:t>
      </w:r>
      <w:r>
        <w:rPr>
          <w:rFonts w:ascii="Times New Roman"/>
          <w:b/>
          <w:i w:val="false"/>
          <w:color w:val="000000"/>
          <w:sz w:val="28"/>
        </w:rPr>
        <w:t>Вид продукции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481"/>
        <w:gridCol w:w="2016"/>
        <w:gridCol w:w="1134"/>
        <w:gridCol w:w="2019"/>
        <w:gridCol w:w="1249"/>
        <w:gridCol w:w="1057"/>
        <w:gridCol w:w="2346"/>
        <w:gridCol w:w="1825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Страна-экспор-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уезд)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/усиленный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чений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2010 года № 342 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Технические условия по формату и регламенту передачи данных</w:t>
      </w:r>
      <w:r>
        <w:br/>
      </w:r>
      <w:r>
        <w:rPr>
          <w:rFonts w:ascii="Times New Roman"/>
          <w:b/>
          <w:i w:val="false"/>
          <w:color w:val="000000"/>
        </w:rPr>
        <w:t>
форм реестров организаций и лиц, осуществляющих производство,</w:t>
      </w:r>
      <w:r>
        <w:br/>
      </w:r>
      <w:r>
        <w:rPr>
          <w:rFonts w:ascii="Times New Roman"/>
          <w:b/>
          <w:i w:val="false"/>
          <w:color w:val="000000"/>
        </w:rPr>
        <w:t>
переработку и (или) хранение подконтрольных товаров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и Положением о едином порядке проведения совместных проверок объектов и отбора проб товаров (продукции), подлежащих ветеринарному контролю (надзору) направляется информация, содержащаяся в Реестре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 (далее – Реестр предприятий третьих стран) и в Реестре организаций и лиц, осуществляющих производство, переработку и (или) хранение подконтрольных товаров, перемещаемых с территории одной Стороны на территорию другой Стороны (далее – Реестр предприятий Таможенного союза) в Комиссию Таможенного союза для ее размещения в Интегрированной информационной системе внешней и взаимной торговли Таможенного союза (далее – ИИСВВТ) и на официальном сайте КТС уполномоченными органами государств – членов Таможенного союза, ответственными за предоставление этих данных (далее –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документа является установление для всех уполномоченных органов единых правил подготовки и передачи в Комиссию Таможенного союза информации, содержащейся в Реестре предприятий третьих стран и в Реестре предприятий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Реестров осуществляется Секретариатом Комиссии Таможенного союза (далее – Секретариат) совместно со следующими органами по надзору и контроль за безопасностью товаров (продукции) государств – членов Таможенного союза, уполномоченными на ведение Реестра предприятий третьих стран и Реестра предприятий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– Министерство сельского хозяйства и продовольствия Республики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Министерство сельского хозяйства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Федеральная служба по ветеринарному и фитосанитарному надзору.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составе каждой поставки данных в Комиссию Таможенного союза необходимо направить следующие файлы: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файл с информацией, содержащейся в Реестре предприятий третьих стран. Структура наименования файла и форматы полей описаны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файл с информацией, содержащейся в Реестре предприятий Таможенного союза. Структура наименования файла и форматы полей описаны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уполномоченного органа Стороны в Комиссию Таможенного союза о включении предприятия в Реестр/введении/снятии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наименования файла данных форм должна иметь следующий вид: nXXYYYYMMDDhhmmss.xls,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признак типа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– Форма реестра организаций и лиц, осуществляющих производство, переработку и (или) хранение подконтрольных товаров, перемещаемых с территории государства одной Стороны на территорию государства другой Стороны (См.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– Форма реестра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 (См.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 – буквенный код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YYYY – четыре цифры года,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месяца,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DD – цифровое обозначение дня месяца,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hh – цифровое обозначение часа,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минуты,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ss – цифровое обозначение секунды,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файла данных сканированной копии основания для включения предприятия в Реестр/введении/снятии ограничений форм должна соответствовать регистрационному номеру предприятия, выданного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файлы форм, направляемые в Комиссию Таможенного союза должны иметь формат Excel 97-2003 (расширение xls). Файл данных должен содержать единственный лист с данными (Лист1). Все данные (заполненные ячейки) имеют формат “Текстовый”. Каждой записи реестра соответствует строго одна строка. Каждому реквизиту реестра соответствует строго одна ячейка в данной строке. Первая строка файла содержит названия реквизитов (столбцов). При подготовке файла данных необходимо принимать во внимание ограничения формата книги MS Excel 97-2003 (максимальное число строк в листе 65536, максимальное число символов в ячейке 32000).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Сканированные копии оснований для включения предприятия в Реестр/введении/снятии ограничений должны быть в формате *.pdf разрешения графики 120 точек на дюйм. Каждый файл должен содержать ровно столько страниц, сколько относится к одному основанию для включения предприятия в Реестр/введении/снятии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Файлы с пакетом изменений должны направляться не позднее 1 рабочего дня с момента внесения изменения (актуализации) в Реестр предприятий третьих стран и(или) Реестр предприятий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данные, упомянутые в настоящем документе, направляются в Комиссию Таможенного союза электронной почтой на адрес: stat@tsouz.ru.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Пересылку файлов необходимо осуществлять в заархивированном виде (архиватор WinZip, WinRar). Наименование архива должно содержать обозначение уполномоченного органа, формирующего обновление, порядковый номер пакета обновления и букву английского алфавита для увеличения емкости нумерации (например, BYBST_A000000001). В архивах пакетов обновлений должны содержаться по одному файлу данных в формате *.xls (с информацией, содержащейся в Реестре предприятий третьих стран или файл с информацией, содержащейся в Реестре предприятий Таможенного союза) и файлы со сканированными копиями оснований для включения предприятия в Реестр/введении/снятии ограничений в формате *.pdf. В теме (subject) сообщения электронной почты необходимо указать тип реестра («Реестр предприятий третьих стран», «Реестр предприятий Таможенного союза»), дату и время формирования пакета обновлений и наименование страны и уполномоченного органа, направляющего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данными направляется текстовый файл, в котором сообщается, какие данные и за какой период посылаются и контрольное значение количества единиц записи в реестре (журнал локальной выгрузки). Администратор Комиссии Таможенного союза подтверждает получение данных и сверяет значение количества единиц записи в реестре со значением количества единиц записи в модуле НСИ ИИСВВТ. По итогу загрузки администратор либо сообщает об ошибках при передаче с просьбой направить данные повторно, либо подтверждает успешную загрузку.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Каждый уполномоченный орган в течение 30 дней после вступления в силу настоящих технических условий направит в Комиссию Таможенного союза списки ответственных контактных лиц. Каждый уполномоченный орган в течение 3 рабочих дней уведомляет Комиссию Таможенного союза о любых изменениях в списках ответственных контактных лиц.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Техническим условиям 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Поля файлов данных с информацией, содержащейся</w:t>
      </w:r>
      <w:r>
        <w:br/>
      </w:r>
      <w:r>
        <w:rPr>
          <w:rFonts w:ascii="Times New Roman"/>
          <w:b/>
          <w:i w:val="false"/>
          <w:color w:val="000000"/>
        </w:rPr>
        <w:t>
в Реестре предприятий третьих стран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2114"/>
        <w:gridCol w:w="8970"/>
      </w:tblGrid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TP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Страна-экспортер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(двузначное обозначение Страны-экспортера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классификатором «Стран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территорий»)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RC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предприятия, выданный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NC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предприятия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RC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провинция, земля, штат,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воеводство, аймак, уезд)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предприятия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BC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 статус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(разрешено/запрещено/усиленный контроль)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BC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уполномоченного органа Стороны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 Таможенного союза о 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в Реестр/введении/снятии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Техническим условиям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Поля файлов данных с информацией, содержащейся</w:t>
      </w:r>
      <w:r>
        <w:br/>
      </w:r>
      <w:r>
        <w:rPr>
          <w:rFonts w:ascii="Times New Roman"/>
          <w:b/>
          <w:i w:val="false"/>
          <w:color w:val="000000"/>
        </w:rPr>
        <w:t>
в Реестре предприятий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8"/>
        <w:gridCol w:w="1736"/>
        <w:gridCol w:w="8956"/>
      </w:tblGrid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поля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TP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Государство-член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Беларусь – BY,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KZ, Российская Федерация – RU)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RC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предприятия, выданный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NC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предприятия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RC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(область, провинция, земля, штат,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воеводство, аймак, уезд)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предприятия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BC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 статус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(разрешено/запрещено/усиленный контроль)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BC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уполномоченного органа Стороны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 Таможенного союза о 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в Реестр/введении/снятии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2010 года № 342 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разработки и утверждения проектов документов</w:t>
      </w:r>
      <w:r>
        <w:br/>
      </w:r>
      <w:r>
        <w:rPr>
          <w:rFonts w:ascii="Times New Roman"/>
          <w:b/>
          <w:i w:val="false"/>
          <w:color w:val="000000"/>
        </w:rPr>
        <w:t>
по направлению «Ветеринарные меры»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697"/>
        <w:gridCol w:w="2368"/>
        <w:gridCol w:w="1802"/>
        <w:gridCol w:w="1984"/>
        <w:gridCol w:w="1536"/>
        <w:gridCol w:w="1674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документа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хозпрод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 Р.Ф.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подконтрольные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из третьих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документа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 Р.Б.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 Р.Ф.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 – 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государства–члена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ввозимых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документа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 Р.Б.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 Р.Ф.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2010 года № 342 </w:t>
      </w:r>
    </w:p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Единые ветеринарные (ветеринарно-санитарные)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товарам, подлежащим ветеринарному контролю</w:t>
      </w:r>
      <w:r>
        <w:br/>
      </w:r>
      <w:r>
        <w:rPr>
          <w:rFonts w:ascii="Times New Roman"/>
          <w:b/>
          <w:i w:val="false"/>
          <w:color w:val="000000"/>
        </w:rPr>
        <w:t>
(надзору), утвержденные Решением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18 июня 2010 года № 317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Единые ветеринарные (ветеринарно-санитарные) требования, предъявляемые к товарам, подлежащим ветеринарному контролю (надзору),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главу 36 «Ветеринарно-санитарные требования при ввозе на таможенную территорию Таможенного союза и (или) перемещению между Сторонами кормов для животных растительного происхождения»: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в пункте 7 вместо «кадмий 0,1» внести «кадмий 0,4»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дополнить пунктом 8 «Шрот соевый: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токсичные элементы: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ртуть             0,02;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кадмий            0,4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свинец            0,5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мышьяк            0,5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микотоксины: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зеараленон        1,0;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T-2 токсин        0,1;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дезоксиниваленол  1,0;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афлатоксин В1    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охратоксин А     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пестициды (необходимы данные об их применении при производстве, хранение и транспортировке – по каждой стране - поставщике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Суммарная бета - активность не должна превышать 600 беккерелей на 1 кг во всех перечисленных продуктах.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главу 38 «Ветеринарно-санитарные требования при ввозе на таможенную территорию Таможенного союза и (или) перемещению между Сторонами охотничьих трофеев»: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пункт 2 после слов «ветеринарными сертификатами» дополнить словами «и разрешениями на ввоз»;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дополнить главу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«Ввоз на таможенную территорию Таможенного союза и перемещение между Сторонами охотничьих трофеев из регионов благополучных по указанным в пункте 3 заболеваниям, а также из неблагополучных по указанным заболеваниям регионов, но подвергнутых обработке (дезинфекции) в соответствии с правилами, принятыми в стране происхождения охотничьих трофеев, что подтверждено ветеринарным сертификатом, осуществляется без разрешения уполномоченного органа Стороны».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Раздел Заключительные и переходные положения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взаимной торговле Сторон с третьими странами допускается использование в период до 1 января 2012 года ветеринарных сертификатов, оформленных по парафированным со странами – экспортерами формам  по состоянию на 1 июля 2010 года. Ввозимые на таможенную территорию Таможенного союза по таким ветеринарным сертификатам подконтрольные товары из третьих стран должны соответствовать Единым ветеринарно-санитарным требованиям Таможенного союза и могут обращаться только на территории Стороны, осуществившей ввоз».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2010 года № 342 </w:t>
      </w:r>
    </w:p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едином порядке осуществления ветеринарного</w:t>
      </w:r>
      <w:r>
        <w:br/>
      </w:r>
      <w:r>
        <w:rPr>
          <w:rFonts w:ascii="Times New Roman"/>
          <w:b/>
          <w:i w:val="false"/>
          <w:color w:val="000000"/>
        </w:rPr>
        <w:t>
контроля на таможенной границе Таможенного союза и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союза, утвержденное Решением Комиссии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от 18 июня 2010 года № 317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7.4 слова «Вывоз разрешен» заменить словами «Транзит завершен»;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9.1. после слов «причин приостановки движения подконтрольного товара» словами «в электронном виде на электронную почту уполномоченного органа Стороны согласно приложению № 11».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Раздел XI. Заключительные и переходные положения дополнить 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«11.3. До формирования Единого реестра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союза, уполномоченным органам Сторон при выдаче разрешительных документов на ввоз подконтрольных товаров и осуществлении ветеринарного контроля на таможенной границе Таможенного союза руководствоваться списками предприятий иностранных государств, из которых разрешен ввоз подконтрольных товаров, размещенных на официальных сайтах уполномоченных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следующих товаров: животные; генетический материал; продукция пчеловодства; сырье животного происхождения (шкуры, шерсть, пушно-меховое сырье, перо и т.д.); пищевые добавки животного происхождения; корма растительного происхождения и т.д., производство, переработка и/или хранение которых осуществляют организации и лица, не включенные в указанные списки, ввоз на таможенную территорию Таможенного союза осуществляется по разрешению, выданному уполномоченным органом Стороны с учетом эпизоотической ситуации».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приложении №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в разделе «Образцы штампов ветеринарного надзора»: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 все образцы штампов в правом верхнем углу добавить вторую строку следующего содержания: «001»;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следующим образцом штампа: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153"/>
        <w:gridCol w:w="10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завершен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Госветинспектор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дата          подпись</w:t>
            </w:r>
          </w:p>
        </w:tc>
      </w:tr>
    </w:tbl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 в разделе «Указания по применению»: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в абзаце 3 после слов «код региона» добавить слова «и трехзначный код пограничного ветеринарного пункта, который располагается под кодом региона»;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дополнить его абзацем следующего содержания: «В верхней строчке штампа указывается уполномоченный орган Стороны, осуществляющий ветеринарный контроль (надзор) на границе и транспорте».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дополнить приложением №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Оперативная информация о товарах, движение которых приостановлено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1331"/>
        <w:gridCol w:w="1525"/>
        <w:gridCol w:w="1448"/>
        <w:gridCol w:w="1699"/>
        <w:gridCol w:w="1815"/>
        <w:gridCol w:w="1757"/>
        <w:gridCol w:w="2935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Союзе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лек.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