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d3d4" w14:textId="74cd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Инструкцию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г.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в Инструкцию о порядке использования транспортных (перевозочных), коммерческих и (или) иных документов в качестве декларации на товары,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263, изложивподпункт 3 пункта 12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контейнеров, не используемых в качестве транспортных средств международной перевозки, поддонов, упаковки и иной многооборотной тары, подлежащих возврату в соответствии с условиями внешнеэкономической сделки и заявляемых под таможенные процедуры временного ввоза (допуска) или временного вывоза, если в отношении таких товаров предоставляется полное условное освобождение от уплаты таможенных пошлин, налогов, а также под таможенные процедуры реэкспорта или реимпорта в целях завершения действия таможенных процедур временного ввоза (допуска) или временного вывоза;».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