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ba18" w14:textId="b50b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для подготовки решений Комиссии Таможенного союза в соответствии с соглашениями между государствами-членами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361. Утратило силу решением Комиссии таможенного союза от 23 сентября 2011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23.09.2011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306 «О создании рабочей группы для подготовки решений Комиссии Таможенного союза в соответствии с соглашениями между государствами-членами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стран»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для подготовки решений Комиссии Таможенного союза в соответствии с соглашениями между государствами - 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 (далее - рабочая группа)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Абдыкерову Светлану Жанузаковну начальника отдела тарифного регулирования и товарной номенклатуры Управления таможенных доходов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и руководителя рабочей группы в десятидневный срок представить в Секретариат Комиссии Таможенного союза согласованный проект Плана работы рабочей группы, доработать и внести на очередное заседание Комиссии Таможенного союза согласованный проект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№361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для подготовки решений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в соответствии с соглашениями между государствами–членами</w:t>
      </w:r>
      <w:r>
        <w:br/>
      </w:r>
      <w:r>
        <w:rPr>
          <w:rFonts w:ascii="Times New Roman"/>
          <w:b/>
          <w:i w:val="false"/>
          <w:color w:val="000000"/>
        </w:rPr>
        <w:t>
ЕврАзЭС о единых правилах определения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товаров и о правилах определения происхождения товаров из</w:t>
      </w:r>
      <w:r>
        <w:br/>
      </w:r>
      <w:r>
        <w:rPr>
          <w:rFonts w:ascii="Times New Roman"/>
          <w:b/>
          <w:i w:val="false"/>
          <w:color w:val="000000"/>
        </w:rPr>
        <w:t>
развивающихся и наименее развитых стран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4943"/>
        <w:gridCol w:w="6811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Могучий В.М.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Беларусь,</w:t>
            </w:r>
          </w:p>
        </w:tc>
      </w:tr>
      <w:tr>
        <w:trPr>
          <w:trHeight w:val="12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Сидорович Н.А.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4943"/>
        <w:gridCol w:w="6811"/>
      </w:tblGrid>
      <w:tr>
        <w:trPr>
          <w:trHeight w:val="37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 З.Е.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политики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37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А.Е.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</w:tc>
      </w:tr>
      <w:tr>
        <w:trPr>
          <w:trHeight w:val="37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Абдыкерова С.Ж.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Управления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Кононова Т.И.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г.Астаны,</w:t>
            </w:r>
          </w:p>
        </w:tc>
      </w:tr>
      <w:tr>
        <w:trPr>
          <w:trHeight w:val="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Нашкенов К.Б.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Р.С.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Генеральный директор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</w:tc>
      </w:tr>
      <w:tr>
        <w:trPr>
          <w:trHeight w:val="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 Е.Б.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соглашений ВТО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</w:tc>
      </w:tr>
      <w:tr>
        <w:trPr>
          <w:trHeight w:val="1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Хайдарова Н.Д.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политики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4943"/>
        <w:gridCol w:w="6811"/>
      </w:tblGrid>
      <w:tr>
        <w:trPr>
          <w:trHeight w:val="10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 А.В.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директора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</w:tc>
      </w:tr>
      <w:tr>
        <w:trPr>
          <w:trHeight w:val="10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Егорова С.В.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</w:tc>
      </w:tr>
      <w:tr>
        <w:trPr>
          <w:trHeight w:val="10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Забарова Л.В.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Сводного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</w:t>
            </w:r>
          </w:p>
        </w:tc>
      </w:tr>
      <w:tr>
        <w:trPr>
          <w:trHeight w:val="10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Д.И.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ведущий специалист-эксперт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</w:t>
            </w:r>
          </w:p>
        </w:tc>
      </w:tr>
      <w:tr>
        <w:trPr>
          <w:trHeight w:val="10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Решетняк Д.Н.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</w:t>
            </w:r>
          </w:p>
        </w:tc>
      </w:tr>
      <w:tr>
        <w:trPr>
          <w:trHeight w:val="87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Завьялов А.В.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инспектор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Секретариата Комиссии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4943"/>
        <w:gridCol w:w="6812"/>
      </w:tblGrid>
      <w:tr>
        <w:trPr>
          <w:trHeight w:val="3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Урупова Г.Н.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Вр.и.о.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таможенно-тарифного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регулирования,</w:t>
            </w:r>
          </w:p>
        </w:tc>
      </w:tr>
      <w:tr>
        <w:trPr>
          <w:trHeight w:val="3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А.Н.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консультант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таможенно-тарифного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регулирования,</w:t>
            </w:r>
          </w:p>
        </w:tc>
      </w:tr>
      <w:tr>
        <w:trPr>
          <w:trHeight w:val="37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Г.Б.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администрирования.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361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рабочей группе для подготовки решений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в соответствии с соглашениями между государствами–членами</w:t>
      </w:r>
      <w:r>
        <w:br/>
      </w:r>
      <w:r>
        <w:rPr>
          <w:rFonts w:ascii="Times New Roman"/>
          <w:b/>
          <w:i w:val="false"/>
          <w:color w:val="000000"/>
        </w:rPr>
        <w:t>
ЕврАзЭС о единых правилах определения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товаров и о правилах определения происхождения товаров из</w:t>
      </w:r>
      <w:r>
        <w:br/>
      </w:r>
      <w:r>
        <w:rPr>
          <w:rFonts w:ascii="Times New Roman"/>
          <w:b/>
          <w:i w:val="false"/>
          <w:color w:val="000000"/>
        </w:rPr>
        <w:t>
развивающихся и наименее развитых стран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Рабочая группа для подготовки решений Комиссии Таможенного союза в соответствии с соглашениями между государствами-членами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 (далее - рабочая группа) создается при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рабочая группа руководствуется международными договорами, формирующими договорно-правовую базу Таможенного союза, решениями Межгосударственного Совета ЕврАзЭС (Высшего органа Таможенного союза) и Комиссии Таможенного союза, а также настоящим Положением. Экспертная группа подотчетна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Основная задача рабочей группы реализация целей и задач создания Таможенного союза в части, касающейся единых правил определения страны происхождения товаров и правил определения происхождения товаров из развивающихся и наименее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Рабочая группа готовит и вносит на рассмотрение Комиссии Таможенного союза предложения, связанные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разработка Перечня простых сборочных операций и операций по разработке товара, а также иных операций, осуществление которых не изменяет состояния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определение страны происхождения товаров, критериев достаточной переработки, выраженных в изменении стоимости товаров, когда процентная доля стоимости используемых материалов или добавочная стоимость достигает фиксированной доли в цене конечной продукции (правила адвалорной доли) и выполнение определенных условий, производственных или технологических операций, достаточных для того, чтобы страной происхождения товаров считалась страна, где эти операции имели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Рабочая группа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разрабатывать в пределах своей компетенции проекты документов, направленных на реализацию решений Комиссии Таможенного союза и заключенных в рамках Таможенного союза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вносить в установленном порядке предложения по вопросам, входящим в компетенцию рабочей группы, а также по проектам решений Комиссии Таможенного союза и Межгосударственного Совета ЕврАзЭС (Высшего органа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взаимодействовать с уполномоченными органами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запрашивать и получать необходимую информацию в соответствии с национальным законодательством государств-членов Таможенного союза и решениями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создавать в рамках рабочей группы рабочие подгруппы для проработки предложений по отдельным вопросам, связанным с решением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рабочей группы формируется по представлению государств-членов Таможенного союза Секретариатом Комиссии Таможенного союза и утверждается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 обладают равными правами при обсуждении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рабочей группы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заседаний рабочей группы обеспечивается Секретариатом Комиссии Таможенного союза по представлению ее руководителя. Расходы, связанные с участием в заседаниях экспертов, несет направляющий орган каждого государства-члена Таможенного союза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рабочей группы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рабочей группы визируются присутствующими на заседании членами рабочей группы и подписываются руководителем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рабочей группы хранятся в Секретариате Комиссии Таможенного союза.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