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425c" w14:textId="35e4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третьем этапе формирования кадрового состава Секретариата Комиссии Таможенного союза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388.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Решением Межгоссовета ЕврАзЭС (Высшего органа Таможенного союза) на уровне глав государств от 27 ноября 2009 года № 20 в целях обеспечения деятельности Комиссии Таможенного союза приступить с 1 ноября 2010 года к третьему этапу формирования кадрового состава Секретариата Комиссии Таможенного союза и утвердить штатное расписание Секретариата Комиссии Таможенного союза согласно приложению.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2010 г. № 388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Штатное расписание</w:t>
      </w:r>
      <w:r>
        <w:br/>
      </w:r>
      <w:r>
        <w:rPr>
          <w:rFonts w:ascii="Times New Roman"/>
          <w:b/>
          <w:i w:val="false"/>
          <w:color w:val="000000"/>
        </w:rPr>
        <w:t>Секретариата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Третий этап (с 1 ноября 2010 г.)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4"/>
        <w:gridCol w:w="2204"/>
        <w:gridCol w:w="4018"/>
        <w:gridCol w:w="2494"/>
      </w:tblGrid>
      <w:tr>
        <w:trPr>
          <w:trHeight w:val="30" w:hRule="atLeast"/>
        </w:trPr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должностные лица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Руководство Секретариата Комиссии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9"/>
        <w:gridCol w:w="3820"/>
        <w:gridCol w:w="3820"/>
        <w:gridCol w:w="841"/>
      </w:tblGrid>
      <w:tr>
        <w:trPr>
          <w:trHeight w:val="30" w:hRule="atLeast"/>
        </w:trPr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секретарь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Ответственного секретаря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количество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Департамент торговой политики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3716"/>
        <w:gridCol w:w="2394"/>
        <w:gridCol w:w="3717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торговых переговоров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анализа торговой политики с третьими странами и международными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преференций и ответных мер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количество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Департамент таможенно-тарифного и нетарифного регулирования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6"/>
        <w:gridCol w:w="831"/>
        <w:gridCol w:w="3781"/>
        <w:gridCol w:w="3782"/>
      </w:tblGrid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таможенно-тарифного регулирования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отдела: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нетарифного регулирования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отдела: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мер защиты внутреннего рынка Таможенного союза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3716"/>
        <w:gridCol w:w="2394"/>
        <w:gridCol w:w="3717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количество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Департамент таможенного администрирования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3716"/>
        <w:gridCol w:w="2394"/>
        <w:gridCol w:w="3717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методологии осуществления таможенных операций и процедур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методологии таможенной стоимости, платежей и страны происхождения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количество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Департамент политики в сфере технического регулирования,</w:t>
      </w:r>
      <w:r>
        <w:br/>
      </w:r>
      <w:r>
        <w:rPr>
          <w:rFonts w:ascii="Times New Roman"/>
          <w:b/>
          <w:i w:val="false"/>
          <w:color w:val="000000"/>
        </w:rPr>
        <w:t>санитарных, ветеринарных и фитосанитарных мер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1"/>
        <w:gridCol w:w="4163"/>
        <w:gridCol w:w="2683"/>
        <w:gridCol w:w="2683"/>
      </w:tblGrid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применения санитарных, ветеринарных и фитосанитарных мер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отдела: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количество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Департамент финансовой политики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6"/>
        <w:gridCol w:w="831"/>
        <w:gridCol w:w="3781"/>
        <w:gridCol w:w="3782"/>
      </w:tblGrid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бюджетной политики и платежей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отдела: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3716"/>
        <w:gridCol w:w="2394"/>
        <w:gridCol w:w="3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налоговой политики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количество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Департамент статистики (Центр таможенной статистики)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3716"/>
        <w:gridCol w:w="2394"/>
        <w:gridCol w:w="3717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Центра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Центра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статистики внешней торговли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статистики взаимной торговли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программного информационного обеспечения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количество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Административный департамент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0"/>
        <w:gridCol w:w="3267"/>
        <w:gridCol w:w="2105"/>
        <w:gridCol w:w="3268"/>
      </w:tblGrid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обеспечения работы Комиссии Таможенного союза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 органа Таможенного союза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отдела: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обеспечения деятельности Секретариата Комиссии Таможенного союза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отдела: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технического обеспечения работы Секретариата Комиссии Таможенного союза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Бухгалтерия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(советник)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Консультант-бухгалтер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Кадры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Советник: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количество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Правовой департамент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3831"/>
        <w:gridCol w:w="2820"/>
        <w:gridCol w:w="3832"/>
      </w:tblGrid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количество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