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62e8" w14:textId="2476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434.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 в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 к разделу 2.19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 (прилагаются).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434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 в Положение о порядке ввоза на</w:t>
      </w:r>
      <w:r>
        <w:br/>
      </w:r>
      <w:r>
        <w:rPr>
          <w:rFonts w:ascii="Times New Roman"/>
          <w:b/>
          <w:i w:val="false"/>
          <w:color w:val="000000"/>
        </w:rPr>
        <w:t>
таможенную территорию Таможенного союза и вывоза с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 шифровальных (криптографических)</w:t>
      </w:r>
      <w:r>
        <w:br/>
      </w:r>
      <w:r>
        <w:rPr>
          <w:rFonts w:ascii="Times New Roman"/>
          <w:b/>
          <w:i w:val="false"/>
          <w:color w:val="000000"/>
        </w:rPr>
        <w:t>
средств к разделу 2.19 Единого перечня товаров, к которым</w:t>
      </w:r>
      <w:r>
        <w:br/>
      </w:r>
      <w:r>
        <w:rPr>
          <w:rFonts w:ascii="Times New Roman"/>
          <w:b/>
          <w:i w:val="false"/>
          <w:color w:val="000000"/>
        </w:rPr>
        <w:t>
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государствами-членами Таможенного союза в рамках ЕврАзЭС в</w:t>
      </w:r>
      <w:r>
        <w:br/>
      </w:r>
      <w:r>
        <w:rPr>
          <w:rFonts w:ascii="Times New Roman"/>
          <w:b/>
          <w:i w:val="false"/>
          <w:color w:val="000000"/>
        </w:rPr>
        <w:t>
торговле с третьими странами.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пункте 7 Положения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 (далее – Положение):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втором слова «и количества»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четвертый дополнить предложениями: «Предоставление исходных кодов не является обязательным требованием. Отказ заявителя в предоставлении исходных кодов не является сам по себе основанием в отказе по заявлению.»;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абзацем: «Заключение на конкретное шифровальное средство выдается однократно. При этом согласующие органы государства-члена Таможенного союза определяют возможность и условия применения указанного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первом абзаце после слов «(разрешительного документа)» дополнить словами: «в соответствии с пунктом 8 настоящего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третий дополнить предложениями: «Предоставление исходных кодов не является обязательным требованием. Отказ заявителя в предоставлении исходных кодов не является сам по себе основанием в отказе по заявлению.»;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Положение пунктом 9а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«9а. Общий срок получения лицензии уполномоченного органа с учетом проведения экспертизы и получения заключения согласующего органа государства-члена Таможенного союза не должен превышать 90 дней со дня регистрации обращения заявителя в согласующем органе государства-члена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11 дополнить следующими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нотификации производится автоматически, если согласующий орган государства-члена Таможенного союза не свяжется с заявителем в течении 10 рабочих дней после подачи заявления по вопросам соответствия предоставленных материалов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с даты подачи материалов на регистрацию нотификации до регистрации нотификации заявитель может внести изменения в нотификацию с визированием этих изменений лицом, подписавшим нотификацию. При этом датой отсчета срока регистрации нотификации считается дата внесения изменений в нотификацию.»;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Дополнить Положение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При рассмотрении материалов заявителей, проведении работ по рассмотрению и регистрации нотификаций, проведении экспертиз шифровальных средств согласующие органы государств-членов Таможенного союза должны обеспечивать сохранение конфиденциальности доверенной им информации и использовать ее только в тех целях, в которых такая информация им представлена».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