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8224" w14:textId="4cb8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Графике разработки первоочередных технических регламентов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8 декабря 2010 года № 492. Утратило силу решением Совета Евразийской экономической комиссии от 23 ноября 2012 года № 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Совета Евразийской экономической комиссии от 23.11.2012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вступает в силу по истечении 30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новую редакцию </w:t>
      </w:r>
      <w:r>
        <w:rPr>
          <w:rFonts w:ascii="Times New Roman"/>
          <w:b w:val="false"/>
          <w:i w:val="false"/>
          <w:color w:val="000000"/>
          <w:sz w:val="28"/>
        </w:rPr>
        <w:t>Графика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первоочередных технических регламентов Таможенного союза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3"/>
        <w:gridCol w:w="4253"/>
        <w:gridCol w:w="4254"/>
      </w:tblGrid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2010 года № 492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разработки первоочередных технических регламентов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6678"/>
        <w:gridCol w:w="2617"/>
        <w:gridCol w:w="2920"/>
      </w:tblGrid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технического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регламента Таможенного союза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(ТР)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Сторона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разработчик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внесения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проекта ТР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Стороной-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разработчиком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низковольтного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предназначенной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игрушек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упаковки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высокоскоростного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транспорта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транспорта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зерна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требованиях к бензинам,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дизельному топливу и мазутам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пиротехнических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парфюмерно-косметической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колесных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средств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автомобильных дорог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во взрывоопасных средах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лифтов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пищевой продукции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регламент на пищевую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 в части ее маркировки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регламент на соковую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регламент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масложировую продукцию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регламент на молоко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молочную продукцию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мяса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мясопродуктов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рыбы и рыбной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требованиях к выбросам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техникой вредных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(загрязняющих) веществ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аппаратов,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работающих на газообразном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защиты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работающего под избыточным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требованиях к удобрениям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продукции 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диетического, специального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лечебно-профилактического питания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пищевых добавок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кормов и кормовых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добавок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лакокрасочных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синтетических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моющих средств и товаров бытовой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взрывчатых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изделий на их основе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требованиях к смазочным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материалам, маслам 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жидкостям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регламент на табачную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лесохозяйственных 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 к ним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изделий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мебельной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требованиях к колесным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 средствам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их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маломерных судов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требованиях 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 бытовых,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энергопотребляющих устройств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 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– другие две Стороны являются соразработчиками технического регламента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– проекты указанных технических регламентов Таможенного союза вносятся в Секретариат Комиссии Таможенного союза для рассмотрения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– проекты указанных технических регламентов Таможенного союза вносятся в Секретариат Комиссии Таможенного союза для публичного обсуждения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