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8224" w14:textId="4cb8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Графике разработки первоочередных технических регламентов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492. Утратило силу решением Совета Евразийской экономической комиссии от 23 ноября 2012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23.11.2012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новую редакцию </w:t>
      </w:r>
      <w:r>
        <w:rPr>
          <w:rFonts w:ascii="Times New Roman"/>
          <w:b w:val="false"/>
          <w:i w:val="false"/>
          <w:color w:val="000000"/>
          <w:sz w:val="28"/>
        </w:rPr>
        <w:t>Графика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первоочередных технических регламентов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253"/>
        <w:gridCol w:w="4254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2010 года № 492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разработки первоочередных технических регламентов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6678"/>
        <w:gridCol w:w="2617"/>
        <w:gridCol w:w="2920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технического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регламента Таможенного союза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(ТР)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Сторона 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разработчик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</w:t>
            </w:r>
            <w:r>
              <w:rPr>
                <w:rFonts w:ascii="Times New Roman"/>
                <w:b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внесения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проекта ТР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Стороной-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разработчиком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низковольтного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предназначенной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игрушек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упаковки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высокоскоростного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зерна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бензинам,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дизельному топливу и мазутам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пиротехнических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колесных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Электромагнитная совместимость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средств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автомобильных дорог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во взрывоопасных средах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лифтов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пищевой продукции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 на пищевую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 в части ее маркировки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 на соковую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масложировую продукцию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 на молоко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молочную продукцию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мяса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мясопродуктов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рыбы и рыбной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выбросам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техникой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(загрязняющих) веществ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аппаратов,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на газообразном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 под избыточным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удобрениям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продукции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диетического, специального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лечебно-профилактического питания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назначения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пищевых добавок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лакокрасочных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синтетических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моющих средств и товаров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взрывчатых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изделий на их основе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смазочным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материалам, маслам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жидкостям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регламент на табачную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лесохозяйственных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прицепов к ним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сооружений,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изделий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мебельной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к колесным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 средствам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их безопасной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утилизации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безопасности маломерных судов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требованиях 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бытовых,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энергопотребляющих устройств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– другие две Стороны являются соразработчиками технического регламента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– проекты указанных технических регламентов Таможенного союза вносятся в Секретариат Комиссии Таможенного союза для рассмотрения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– проекты указанных технических регламентов Таможенного союза вносятся в Секретариат Комиссии Таможенного союза для публичного обсуждения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