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c876f" w14:textId="f7c87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корректировке ставок ввозных таможенных пошлин Единого таможенного тарифа Таможенного союза в отношении отдельных видов зерна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28 января 2011 года № 548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Установить сроком до 30 июня 2011 года ставки ввозных таможенных пошлин Единого таможенного тарифа Таможенного союза(</w:t>
      </w:r>
      <w:r>
        <w:rPr>
          <w:rFonts w:ascii="Times New Roman"/>
          <w:b w:val="false"/>
          <w:i w:val="false"/>
          <w:color w:val="000000"/>
          <w:sz w:val="28"/>
        </w:rPr>
        <w:t>приложение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Комиссии Таможенного союза от 27 ноября 2009 г. № 130) на отдельные виды зерна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33"/>
        <w:gridCol w:w="4633"/>
        <w:gridCol w:w="4633"/>
      </w:tblGrid>
      <w:tr>
        <w:trPr>
          <w:trHeight w:val="30" w:hRule="atLeast"/>
        </w:trPr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От Российской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Румас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Комиссии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Таможенного союза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января 2011 г. № 548   </w:t>
      </w:r>
    </w:p>
    <w:bookmarkEnd w:id="1"/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СТАВКИ</w:t>
      </w:r>
      <w:r>
        <w:br/>
      </w:r>
      <w:r>
        <w:rPr>
          <w:rFonts w:ascii="Times New Roman"/>
          <w:b/>
          <w:i w:val="false"/>
          <w:color w:val="000000"/>
        </w:rPr>
        <w:t>
ввозных таможенных пошлин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53"/>
        <w:gridCol w:w="5733"/>
        <w:gridCol w:w="4513"/>
      </w:tblGrid>
      <w:tr>
        <w:trPr>
          <w:trHeight w:val="30" w:hRule="atLeast"/>
        </w:trPr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ТН ВЭД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позиции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Ставка ввозной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таможенной пошлины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процентах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таможенной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в евро, либо 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73"/>
        <w:gridCol w:w="8673"/>
        <w:gridCol w:w="1813"/>
      </w:tblGrid>
      <w:tr>
        <w:trPr>
          <w:trHeight w:val="30" w:hRule="atLeast"/>
        </w:trPr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1001 10 000 0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пшеница твердая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1001 90 100 0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спельта для посева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1001 90 910 0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пшеница мягкая и меслин семенные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1001 90 990 0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прочие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1002 00 000 0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Рожь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1003 00 100 0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семенной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1003 00 900 0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прочий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1004 00 000 0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Овес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1005 10 110 0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двойные гибриды и топкроссные гибриды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1005 10 130 0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тройные гибриды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1005 10 150 0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простые гибриды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1005 10 190 0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прочие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1005 10 900 0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прочая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