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b2c7" w14:textId="fc6b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Шукеев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2011 г. № 566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>
в Единый перечень товаров, подлежащих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санитарно-эпидемиологическому надзору (контролю) на таможенной</w:t>
      </w:r>
      <w:r>
        <w:br/>
      </w:r>
      <w:r>
        <w:rPr>
          <w:rFonts w:ascii="Times New Roman"/>
          <w:b/>
          <w:i w:val="false"/>
          <w:color w:val="000000"/>
        </w:rPr>
        <w:t>
границе и таможенной территории Таможенного союза, утвержденный</w:t>
      </w:r>
      <w:r>
        <w:br/>
      </w:r>
      <w:r>
        <w:rPr>
          <w:rFonts w:ascii="Times New Roman"/>
          <w:b/>
          <w:i w:val="false"/>
          <w:color w:val="000000"/>
        </w:rPr>
        <w:t>
Решением Комиссии Таможенного союза от 28 мая 2010 года № 299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раздел I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текста «02-05,» изложить в следующей редакции: «07-25, 27-29, 32-34, 35).»;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«товары бытовой химии» словами «лакокрасочные материалы», далее – по тексту;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слов «предназначенные для применения в строительстве» изложить в следующей редакции «Полимерные, синтетические и иные материалы,», далее – по тексту.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