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7422" w14:textId="0437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Единые санитарно-эпидемиологические и гигиенические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товарам, подлежащим санитарно-эпидемиологическому надзору (контролю), утвержденные Решением Комиссии Таможенного союза от 28 мая 2010 года № 299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585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571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Единые санитарно-эпидемиологические и гигиенические</w:t>
      </w:r>
      <w:r>
        <w:br/>
      </w:r>
      <w:r>
        <w:rPr>
          <w:rFonts w:ascii="Times New Roman"/>
          <w:b/>
          <w:i w:val="false"/>
          <w:color w:val="000000"/>
        </w:rPr>
        <w:t>
требования к товарам, подлежащим санитарно-эпидемиологическому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надзору (контролю), утвержденные </w:t>
      </w:r>
      <w:r>
        <w:rPr>
          <w:rFonts w:ascii="Times New Roman"/>
          <w:b/>
          <w:i w:val="false"/>
          <w:color w:val="000000"/>
        </w:rPr>
        <w:t>Решением</w:t>
      </w:r>
      <w:r>
        <w:rPr>
          <w:rFonts w:ascii="Times New Roman"/>
          <w:b/>
          <w:i w:val="false"/>
          <w:color w:val="000000"/>
        </w:rPr>
        <w:t xml:space="preserve"> Комиссии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от 28 мая 2010 года № 299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18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изделиям медицинского назначения и медицинской технике» </w:t>
      </w:r>
      <w:r>
        <w:rPr>
          <w:rFonts w:ascii="Times New Roman"/>
          <w:b w:val="false"/>
          <w:i w:val="false"/>
          <w:color w:val="000000"/>
          <w:sz w:val="28"/>
        </w:rPr>
        <w:t>Главы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товарам, подлежащим санитарно-эпидемиологическому надзору (контролю),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Восьмой абзац </w:t>
      </w:r>
      <w:r>
        <w:rPr>
          <w:rFonts w:ascii="Times New Roman"/>
          <w:b w:val="false"/>
          <w:i w:val="false"/>
          <w:color w:val="000000"/>
          <w:sz w:val="28"/>
        </w:rPr>
        <w:t>подраздела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потребительской маркировке изделий медицинского назначения и медицинской техники и информированию пользователя» изложить в следующей редакции: «Маркировка должна быть изложена на русском языке. Допускается дополнительное использование других языков.».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требования к подконтрольной продукции (товарам) и показателям их безопасности (изделия медицинской техники и медицинского назначения)»: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подпункте 1.5.1 наименование продукции (товара) изложить в следующей редакции: «Изделия впитывающие медицинские для ухода за больными (прокладки, вкладыши урологические, подгузники, трусы, впитывающие простыни)».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В подпункте 1.5.2 наименование продукции (товара) изложить в следующей редакции: «Перчатки хирургические, смотровые, анатомические, презервативы».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Дополнить раздел 18.1 «Изделия медицинского назначения» группой товаров 1.9. «Упаковка медицинских изделий, в т.ч. подлежащих финишной стерилизации» и подпунктами 1.9.1, 1.9.2, 1.9.2.1, 1.9.2.2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2627"/>
        <w:gridCol w:w="4040"/>
        <w:gridCol w:w="4040"/>
        <w:gridCol w:w="2143"/>
      </w:tblGrid>
      <w:tr>
        <w:trPr>
          <w:trHeight w:val="75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ДКМ,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Упаковка медицинских изделий, в т.ч. подлежащих финишной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1.9.1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оберточная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Санитарно-гигиенические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состояния водных вытяжек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 (описат.)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 (описат.)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рН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ед.рН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+1,0 ед.рН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Миграция вредных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дистиллированную воду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и ионы аммони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NH4)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Хлорид-ионы (по хлору)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Сульфат-ионы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 свинца,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мышьяка, хрома,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цинка, кадмия,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никеля, ртути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350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1.9.2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Санитарно-гигиенические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состояния водных вытяжек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 (описат.)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 (описат.)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рН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ед.рН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+1,0 ед.рН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1.9.2.1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Миграция вредных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дистиллированную воду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Изопропиловый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Изобутиловый спирт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0.5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 5 мг/л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47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1.9.2.2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полиэстер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Диметилтерефталат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0,05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0,1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0.5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2,0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1,5 мг/л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Примечание:* - с учетом рецептуры материала, перечень контролируемых веществ может быть изменен (см. Главу II </w:t>
      </w:r>
      <w:r>
        <w:rPr>
          <w:rFonts w:ascii="Times New Roman"/>
          <w:b w:val="false"/>
          <w:i w:val="false"/>
          <w:color w:val="000000"/>
          <w:sz w:val="28"/>
        </w:rPr>
        <w:t>Раздел 16</w:t>
      </w:r>
      <w:r>
        <w:rPr>
          <w:rFonts w:ascii="Times New Roman"/>
          <w:b w:val="false"/>
          <w:i w:val="false"/>
          <w:color w:val="000000"/>
          <w:sz w:val="28"/>
        </w:rPr>
        <w:t>. Требования к материалам и изделиям, изготовленным из полимерных и других материалов, предназначенных для контакта с пищевыми продуктами и средами).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