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9c7a" w14:textId="3de9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2.16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631.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 2 раздела 2.16 «Радиоэлектронные средства и (или) высокочастотные устройства гражданского назначения, в том числе встроенные либо входящие в состав других товаров, ограниченные к ввозу на территорию Таможенного союза»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 (прилагаются).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631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 раздел 2.16 Единого перечня товаров,</w:t>
      </w:r>
      <w:r>
        <w:br/>
      </w:r>
      <w:r>
        <w:rPr>
          <w:rFonts w:ascii="Times New Roman"/>
          <w:b/>
          <w:i w:val="false"/>
          <w:color w:val="000000"/>
        </w:rPr>
        <w:t xml:space="preserve">
к которым применяются запреты или ограничения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ввоз или вывоз государствами - членами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
в рамках ЕврАзЭС в торговле с третьими странами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графу «Код ЕТН ВЭД» пункта 2 раздела 2.16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странами, следующими товарными позициями ТН ВЭД ТС: из 8517, из 8526, изложив текст указанной графы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6393"/>
      </w:tblGrid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штрихкодовых этикеток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передачи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с этих этикеток,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радиочастот 433,05 -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434,79 (433,92 +- 0,2%) МГц,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выходной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передатчика не более 10 мВт;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8526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 (устройств)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радиуса действия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телеметрии,телеуправления,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сигнализации,передачи 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подобных передач,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работающей в полосе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433,075 - 434,79 МГц,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 мощностью передатчика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мВт;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