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7ad9" w14:textId="0fd7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газового конденсата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682.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ввозной таможенной пошлины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Включить в единую Товарную номенклатуру внешнеэкономической деятельности Таможенного союза примечание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578"/>
        <w:gridCol w:w="3924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682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ПОДСУБПОЗИЦИЯ,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исключаемая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7318"/>
        <w:gridCol w:w="3273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 00 100 0 – газовый конденсат природный                 –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682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292"/>
        <w:gridCol w:w="3277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 00 100       – газовый конденсат природный: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2709 00 100 1     – – газовый конденсат стабильный          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плотностью при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не менее 650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более 850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серы не более 1,0 мас.%</w:t>
      </w:r>
      <w:r>
        <w:rPr>
          <w:rFonts w:ascii="Times New Roman"/>
          <w:b w:val="false"/>
          <w:i w:val="false"/>
          <w:color w:val="000000"/>
          <w:vertAlign w:val="superscript"/>
        </w:rPr>
        <w:t>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2709 00 100 9 – – прочий                                     –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682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 Т А В 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ввозной таможенной пошлины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6930"/>
        <w:gridCol w:w="355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2709 00 100 1     – – газовый конденсат стабильный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плотностью при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не менее 650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850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содержанием серы не более 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мас.%</w:t>
      </w:r>
      <w:r>
        <w:rPr>
          <w:rFonts w:ascii="Times New Roman"/>
          <w:b w:val="false"/>
          <w:i w:val="false"/>
          <w:color w:val="000000"/>
          <w:vertAlign w:val="superscript"/>
        </w:rPr>
        <w:t>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2709 00 100 9 – – прочий                              5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682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</w:t>
      </w:r>
      <w:r>
        <w:br/>
      </w:r>
      <w:r>
        <w:rPr>
          <w:rFonts w:ascii="Times New Roman"/>
          <w:b/>
          <w:i w:val="false"/>
          <w:color w:val="000000"/>
        </w:rPr>
        <w:t>
к единой Товарной 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Включить в единую Товарную номенклатуру внешнеэкономической деятельности Таможенного союза новое примечание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подтверждении уполномоченным органом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 государства – члена Таможенного союза,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 государства – члена Таможенного союза, факта выработки стабильного газового конденсата, обладающего указанными физико-химическими характеристиками и полученного в результате переработки нестабильного газового конденсата, добытого на Южно-Тамбейском месторождении.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