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de1f" w14:textId="7ded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защите экономических интересов производителей никельсодержащего плоского проката из коррозионностойкой стали в Таможенном союзе</w:t>
      </w:r>
    </w:p>
    <w:p>
      <w:pPr>
        <w:spacing w:after="0"/>
        <w:ind w:left="0"/>
        <w:jc w:val="both"/>
      </w:pPr>
      <w:r>
        <w:rPr>
          <w:rFonts w:ascii="Times New Roman"/>
          <w:b w:val="false"/>
          <w:i w:val="false"/>
          <w:color w:val="000000"/>
          <w:sz w:val="28"/>
        </w:rPr>
        <w:t>Решение Комиссии Таможенного союза от 22 июня 2011 года № 699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порядке применения специальных защитных, антидемпинговых и компенсационных мер в течение переходного периода от 19 ноября 2010 года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Установить сроком по 25 декабря 2013 года включительно антидемпинговую пошлину в размере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 в отношении ввозимого на единую таможенную территорию Таможенного союза никельсодержащего плоского проката из коррозионностойкой стали (в листах или рулонах) с содержанием никеля 2,5 мас.% или более, происходящего из Федеративной Республики Бразилии, Китайской Народной Республики (включая Тайвань и специальные административные районы Китая Гонконг и Макао), Республики Корея, Южно-Африканской Республики и классифицируемого кодами 7219 11 000 0, 7219 21 100 9, 7219 22 100 9, 7219 23 000 9, 7219 24 000 9, 7219 32 100 9, 7219 33 100 9, 7219 34 100 9, 7219 35 100 0, 7219 90 800 9, 7220 11 000 9, 7220 12 000 0, 7220 20 210 0, 7220 20 410 0, 7220 20 810 9, 7220 90 800 9 ТН ВЭД ТС.</w:t>
      </w:r>
      <w:r>
        <w:br/>
      </w:r>
      <w:r>
        <w:rPr>
          <w:rFonts w:ascii="Times New Roman"/>
          <w:b w:val="false"/>
          <w:i w:val="false"/>
          <w:color w:val="000000"/>
          <w:sz w:val="28"/>
        </w:rPr>
        <w:t>
</w:t>
      </w:r>
      <w:r>
        <w:rPr>
          <w:rFonts w:ascii="Times New Roman"/>
          <w:b w:val="false"/>
          <w:i w:val="false"/>
          <w:color w:val="000000"/>
          <w:sz w:val="28"/>
        </w:rPr>
        <w:t>
      Действие антидемпинговой пошлины не распространяется на разновидности никельсодержащего плоского проката из коррозионностойкой стали по перечню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Для целей применения указанной ставки антидемпинговой пошлины товар определяется как кодами ТН ВЭД ТС, так и наименованием товара.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решением Комиссии таможенного союза от 18.10.2011 </w:t>
      </w:r>
      <w:r>
        <w:rPr>
          <w:rFonts w:ascii="Times New Roman"/>
          <w:b w:val="false"/>
          <w:i w:val="false"/>
          <w:color w:val="000000"/>
          <w:sz w:val="28"/>
        </w:rPr>
        <w:t>№ 836</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Государственному таможенному комитету Республики Беларусь, Комитету таможенного контроля Министерства финансов Республики Казахстан, Федеральной таможенной службе обеспечить взимание антидемпинговой пошлины, установленной настоящим Решением.</w:t>
      </w:r>
    </w:p>
    <w:bookmarkEnd w:id="0"/>
    <w:p>
      <w:pPr>
        <w:spacing w:after="0"/>
        <w:ind w:left="0"/>
        <w:jc w:val="both"/>
      </w:pPr>
      <w:r>
        <w:rPr>
          <w:rFonts w:ascii="Times New Roman"/>
          <w:b w:val="false"/>
          <w:i/>
          <w:color w:val="000000"/>
          <w:sz w:val="28"/>
        </w:rPr>
        <w:t>Члены Комиссии Таможенного союза:</w:t>
      </w:r>
    </w:p>
    <w:p>
      <w:pPr>
        <w:spacing w:after="0"/>
        <w:ind w:left="0"/>
        <w:jc w:val="both"/>
      </w:pPr>
      <w:r>
        <w:rPr>
          <w:rFonts w:ascii="Times New Roman"/>
          <w:b w:val="false"/>
          <w:i/>
          <w:color w:val="000000"/>
          <w:sz w:val="28"/>
        </w:rPr>
        <w:t>     От                       От                            От</w:t>
      </w:r>
      <w:r>
        <w:br/>
      </w:r>
      <w:r>
        <w:rPr>
          <w:rFonts w:ascii="Times New Roman"/>
          <w:b w:val="false"/>
          <w:i w:val="false"/>
          <w:color w:val="000000"/>
          <w:sz w:val="28"/>
        </w:rPr>
        <w:t>
</w:t>
      </w:r>
      <w:r>
        <w:rPr>
          <w:rFonts w:ascii="Times New Roman"/>
          <w:b w:val="false"/>
          <w:i/>
          <w:color w:val="000000"/>
          <w:sz w:val="28"/>
        </w:rPr>
        <w:t>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color w:val="000000"/>
          <w:sz w:val="28"/>
        </w:rPr>
        <w:t>С. Румас                  У. Шукеев                     И. Шувалов</w:t>
      </w:r>
    </w:p>
    <w:bookmarkStart w:name="z7" w:id="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22 июня 2011 г. № 699</w:t>
      </w:r>
    </w:p>
    <w:bookmarkEnd w:id="1"/>
    <w:bookmarkStart w:name="z8" w:id="2"/>
    <w:p>
      <w:pPr>
        <w:spacing w:after="0"/>
        <w:ind w:left="0"/>
        <w:jc w:val="left"/>
      </w:pPr>
      <w:r>
        <w:rPr>
          <w:rFonts w:ascii="Times New Roman"/>
          <w:b/>
          <w:i w:val="false"/>
          <w:color w:val="000000"/>
        </w:rPr>
        <w:t xml:space="preserve"> 
РАЗМЕРЫ СТАВОК</w:t>
      </w:r>
      <w:r>
        <w:br/>
      </w:r>
      <w:r>
        <w:rPr>
          <w:rFonts w:ascii="Times New Roman"/>
          <w:b/>
          <w:i w:val="false"/>
          <w:color w:val="000000"/>
        </w:rPr>
        <w:t>
антидемпинговой пошлины на никельсодержащий прокат</w:t>
      </w:r>
      <w:r>
        <w:br/>
      </w:r>
      <w:r>
        <w:rPr>
          <w:rFonts w:ascii="Times New Roman"/>
          <w:b/>
          <w:i w:val="false"/>
          <w:color w:val="000000"/>
        </w:rPr>
        <w:t>
из коррозионностойкой стали, происходящий из Федеративной</w:t>
      </w:r>
      <w:r>
        <w:br/>
      </w:r>
      <w:r>
        <w:rPr>
          <w:rFonts w:ascii="Times New Roman"/>
          <w:b/>
          <w:i w:val="false"/>
          <w:color w:val="000000"/>
        </w:rPr>
        <w:t>
Республики Бразилии, Китайской Народной Республики (включая</w:t>
      </w:r>
      <w:r>
        <w:br/>
      </w:r>
      <w:r>
        <w:rPr>
          <w:rFonts w:ascii="Times New Roman"/>
          <w:b/>
          <w:i w:val="false"/>
          <w:color w:val="000000"/>
        </w:rPr>
        <w:t>
Тайвань и специальные административные районы Китая Гонконг и</w:t>
      </w:r>
      <w:r>
        <w:br/>
      </w:r>
      <w:r>
        <w:rPr>
          <w:rFonts w:ascii="Times New Roman"/>
          <w:b/>
          <w:i w:val="false"/>
          <w:color w:val="000000"/>
        </w:rPr>
        <w:t>
Макао), Республики Корея и Южно-Африканской Республики</w:t>
      </w:r>
    </w:p>
    <w:bookmarkEnd w:id="2"/>
    <w:p>
      <w:pPr>
        <w:spacing w:after="0"/>
        <w:ind w:left="0"/>
        <w:jc w:val="both"/>
      </w:pPr>
      <w:r>
        <w:rPr>
          <w:rFonts w:ascii="Times New Roman"/>
          <w:b w:val="false"/>
          <w:i w:val="false"/>
          <w:color w:val="ff0000"/>
          <w:sz w:val="28"/>
        </w:rPr>
        <w:t xml:space="preserve">      Сноска. Приложение 1 с изменениями, внесенными решением Комиссии таможенного союза от 18.10.2011 </w:t>
      </w:r>
      <w:r>
        <w:rPr>
          <w:rFonts w:ascii="Times New Roman"/>
          <w:b w:val="false"/>
          <w:i w:val="false"/>
          <w:color w:val="ff0000"/>
          <w:sz w:val="28"/>
        </w:rPr>
        <w:t>№ 836</w:t>
      </w:r>
      <w:r>
        <w:rPr>
          <w:rFonts w:ascii="Times New Roman"/>
          <w:b w:val="false"/>
          <w:i w:val="false"/>
          <w:color w:val="ff0000"/>
          <w:sz w:val="28"/>
        </w:rPr>
        <w:t xml:space="preserve"> (вступает в силу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2615"/>
        <w:gridCol w:w="3240"/>
        <w:gridCol w:w="3525"/>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ТН ВЭД ТС</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происхожде-</w:t>
            </w:r>
            <w:r>
              <w:br/>
            </w:r>
            <w:r>
              <w:rPr>
                <w:rFonts w:ascii="Times New Roman"/>
                <w:b w:val="false"/>
                <w:i w:val="false"/>
                <w:color w:val="000000"/>
                <w:sz w:val="20"/>
              </w:rPr>
              <w:t>
ния</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Предприятие-</w:t>
            </w:r>
            <w:r>
              <w:br/>
            </w:r>
            <w:r>
              <w:rPr>
                <w:rFonts w:ascii="Times New Roman"/>
                <w:b w:val="false"/>
                <w:i w:val="false"/>
                <w:color w:val="000000"/>
                <w:sz w:val="20"/>
              </w:rPr>
              <w:t>
изготовитель</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ставки</w:t>
            </w:r>
            <w:r>
              <w:br/>
            </w:r>
            <w:r>
              <w:rPr>
                <w:rFonts w:ascii="Times New Roman"/>
                <w:b w:val="false"/>
                <w:i w:val="false"/>
                <w:color w:val="000000"/>
                <w:sz w:val="20"/>
              </w:rPr>
              <w:t>
антидемпинговой</w:t>
            </w:r>
            <w:r>
              <w:br/>
            </w:r>
            <w:r>
              <w:rPr>
                <w:rFonts w:ascii="Times New Roman"/>
                <w:b w:val="false"/>
                <w:i w:val="false"/>
                <w:color w:val="000000"/>
                <w:sz w:val="20"/>
              </w:rPr>
              <w:t>
пошлины (процентов</w:t>
            </w:r>
            <w:r>
              <w:br/>
            </w:r>
            <w:r>
              <w:rPr>
                <w:rFonts w:ascii="Times New Roman"/>
                <w:b w:val="false"/>
                <w:i w:val="false"/>
                <w:color w:val="000000"/>
                <w:sz w:val="20"/>
              </w:rPr>
              <w:t>
от таможенной</w:t>
            </w:r>
            <w:r>
              <w:br/>
            </w:r>
            <w:r>
              <w:rPr>
                <w:rFonts w:ascii="Times New Roman"/>
                <w:b w:val="false"/>
                <w:i w:val="false"/>
                <w:color w:val="000000"/>
                <w:sz w:val="20"/>
              </w:rPr>
              <w:t>
стоимости)</w:t>
            </w:r>
          </w:p>
        </w:tc>
      </w:tr>
      <w:tr>
        <w:trPr>
          <w:trHeight w:val="30"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7219 11 000 0,</w:t>
            </w:r>
            <w:r>
              <w:br/>
            </w:r>
            <w:r>
              <w:rPr>
                <w:rFonts w:ascii="Times New Roman"/>
                <w:b w:val="false"/>
                <w:i w:val="false"/>
                <w:color w:val="000000"/>
                <w:sz w:val="20"/>
              </w:rPr>
              <w:t>
7219 21 100 9,</w:t>
            </w:r>
            <w:r>
              <w:br/>
            </w:r>
            <w:r>
              <w:rPr>
                <w:rFonts w:ascii="Times New Roman"/>
                <w:b w:val="false"/>
                <w:i w:val="false"/>
                <w:color w:val="000000"/>
                <w:sz w:val="20"/>
              </w:rPr>
              <w:t>
7219 22 100 9,</w:t>
            </w:r>
            <w:r>
              <w:br/>
            </w:r>
            <w:r>
              <w:rPr>
                <w:rFonts w:ascii="Times New Roman"/>
                <w:b w:val="false"/>
                <w:i w:val="false"/>
                <w:color w:val="000000"/>
                <w:sz w:val="20"/>
              </w:rPr>
              <w:t>
7219 23 000 9,</w:t>
            </w:r>
            <w:r>
              <w:br/>
            </w:r>
            <w:r>
              <w:rPr>
                <w:rFonts w:ascii="Times New Roman"/>
                <w:b w:val="false"/>
                <w:i w:val="false"/>
                <w:color w:val="000000"/>
                <w:sz w:val="20"/>
              </w:rPr>
              <w:t>
7219 24 000 9,</w:t>
            </w:r>
            <w:r>
              <w:br/>
            </w:r>
            <w:r>
              <w:rPr>
                <w:rFonts w:ascii="Times New Roman"/>
                <w:b w:val="false"/>
                <w:i w:val="false"/>
                <w:color w:val="000000"/>
                <w:sz w:val="20"/>
              </w:rPr>
              <w:t>
7219 32 100 9,</w:t>
            </w:r>
            <w:r>
              <w:br/>
            </w:r>
            <w:r>
              <w:rPr>
                <w:rFonts w:ascii="Times New Roman"/>
                <w:b w:val="false"/>
                <w:i w:val="false"/>
                <w:color w:val="000000"/>
                <w:sz w:val="20"/>
              </w:rPr>
              <w:t>
7219 33 100 9,</w:t>
            </w:r>
            <w:r>
              <w:br/>
            </w:r>
            <w:r>
              <w:rPr>
                <w:rFonts w:ascii="Times New Roman"/>
                <w:b w:val="false"/>
                <w:i w:val="false"/>
                <w:color w:val="000000"/>
                <w:sz w:val="20"/>
              </w:rPr>
              <w:t>
7219 34 100 9,</w:t>
            </w:r>
            <w:r>
              <w:br/>
            </w:r>
            <w:r>
              <w:rPr>
                <w:rFonts w:ascii="Times New Roman"/>
                <w:b w:val="false"/>
                <w:i w:val="false"/>
                <w:color w:val="000000"/>
                <w:sz w:val="20"/>
              </w:rPr>
              <w:t>
7219 35 100 0,</w:t>
            </w:r>
            <w:r>
              <w:br/>
            </w:r>
            <w:r>
              <w:rPr>
                <w:rFonts w:ascii="Times New Roman"/>
                <w:b w:val="false"/>
                <w:i w:val="false"/>
                <w:color w:val="000000"/>
                <w:sz w:val="20"/>
              </w:rPr>
              <w:t>
7219 90 800 9,</w:t>
            </w:r>
            <w:r>
              <w:br/>
            </w:r>
            <w:r>
              <w:rPr>
                <w:rFonts w:ascii="Times New Roman"/>
                <w:b w:val="false"/>
                <w:i w:val="false"/>
                <w:color w:val="000000"/>
                <w:sz w:val="20"/>
              </w:rPr>
              <w:t>
7220 11 000 9,</w:t>
            </w:r>
            <w:r>
              <w:br/>
            </w:r>
            <w:r>
              <w:rPr>
                <w:rFonts w:ascii="Times New Roman"/>
                <w:b w:val="false"/>
                <w:i w:val="false"/>
                <w:color w:val="000000"/>
                <w:sz w:val="20"/>
              </w:rPr>
              <w:t>
7220 12 000 0,</w:t>
            </w:r>
            <w:r>
              <w:br/>
            </w:r>
            <w:r>
              <w:rPr>
                <w:rFonts w:ascii="Times New Roman"/>
                <w:b w:val="false"/>
                <w:i w:val="false"/>
                <w:color w:val="000000"/>
                <w:sz w:val="20"/>
              </w:rPr>
              <w:t>
7220 20 210 0,</w:t>
            </w:r>
            <w:r>
              <w:br/>
            </w:r>
            <w:r>
              <w:rPr>
                <w:rFonts w:ascii="Times New Roman"/>
                <w:b w:val="false"/>
                <w:i w:val="false"/>
                <w:color w:val="000000"/>
                <w:sz w:val="20"/>
              </w:rPr>
              <w:t>
7220 20 410 0,</w:t>
            </w:r>
            <w:r>
              <w:br/>
            </w:r>
            <w:r>
              <w:rPr>
                <w:rFonts w:ascii="Times New Roman"/>
                <w:b w:val="false"/>
                <w:i w:val="false"/>
                <w:color w:val="000000"/>
                <w:sz w:val="20"/>
              </w:rPr>
              <w:t>
7220 20 810 9,</w:t>
            </w:r>
            <w:r>
              <w:br/>
            </w:r>
            <w:r>
              <w:rPr>
                <w:rFonts w:ascii="Times New Roman"/>
                <w:b w:val="false"/>
                <w:i w:val="false"/>
                <w:color w:val="000000"/>
                <w:sz w:val="20"/>
              </w:rPr>
              <w:t>
7220 90 800 9</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Китайская</w:t>
            </w:r>
            <w:r>
              <w:br/>
            </w:r>
            <w:r>
              <w:rPr>
                <w:rFonts w:ascii="Times New Roman"/>
                <w:b w:val="false"/>
                <w:i w:val="false"/>
                <w:color w:val="000000"/>
                <w:sz w:val="20"/>
              </w:rPr>
              <w:t>
Народная</w:t>
            </w:r>
            <w:r>
              <w:br/>
            </w:r>
            <w:r>
              <w:rPr>
                <w:rFonts w:ascii="Times New Roman"/>
                <w:b w:val="false"/>
                <w:i w:val="false"/>
                <w:color w:val="000000"/>
                <w:sz w:val="20"/>
              </w:rPr>
              <w:t>
Республика</w:t>
            </w:r>
            <w:r>
              <w:br/>
            </w:r>
            <w:r>
              <w:rPr>
                <w:rFonts w:ascii="Times New Roman"/>
                <w:b w:val="false"/>
                <w:i w:val="false"/>
                <w:color w:val="000000"/>
                <w:sz w:val="20"/>
              </w:rPr>
              <w:t>
(включая</w:t>
            </w:r>
            <w:r>
              <w:br/>
            </w:r>
            <w:r>
              <w:rPr>
                <w:rFonts w:ascii="Times New Roman"/>
                <w:b w:val="false"/>
                <w:i w:val="false"/>
                <w:color w:val="000000"/>
                <w:sz w:val="20"/>
              </w:rPr>
              <w:t>
Тайвань и</w:t>
            </w:r>
            <w:r>
              <w:br/>
            </w:r>
            <w:r>
              <w:rPr>
                <w:rFonts w:ascii="Times New Roman"/>
                <w:b w:val="false"/>
                <w:i w:val="false"/>
                <w:color w:val="000000"/>
                <w:sz w:val="20"/>
              </w:rPr>
              <w:t>
специальные</w:t>
            </w:r>
            <w:r>
              <w:br/>
            </w:r>
            <w:r>
              <w:rPr>
                <w:rFonts w:ascii="Times New Roman"/>
                <w:b w:val="false"/>
                <w:i w:val="false"/>
                <w:color w:val="000000"/>
                <w:sz w:val="20"/>
              </w:rPr>
              <w:t>
администра-</w:t>
            </w:r>
            <w:r>
              <w:br/>
            </w:r>
            <w:r>
              <w:rPr>
                <w:rFonts w:ascii="Times New Roman"/>
                <w:b w:val="false"/>
                <w:i w:val="false"/>
                <w:color w:val="000000"/>
                <w:sz w:val="20"/>
              </w:rPr>
              <w:t>
тивные районы</w:t>
            </w:r>
            <w:r>
              <w:br/>
            </w:r>
            <w:r>
              <w:rPr>
                <w:rFonts w:ascii="Times New Roman"/>
                <w:b w:val="false"/>
                <w:i w:val="false"/>
                <w:color w:val="000000"/>
                <w:sz w:val="20"/>
              </w:rPr>
              <w:t>
Китая</w:t>
            </w:r>
            <w:r>
              <w:br/>
            </w:r>
            <w:r>
              <w:rPr>
                <w:rFonts w:ascii="Times New Roman"/>
                <w:b w:val="false"/>
                <w:i w:val="false"/>
                <w:color w:val="000000"/>
                <w:sz w:val="20"/>
              </w:rPr>
              <w:t>
Гонконг и</w:t>
            </w:r>
            <w:r>
              <w:br/>
            </w:r>
            <w:r>
              <w:rPr>
                <w:rFonts w:ascii="Times New Roman"/>
                <w:b w:val="false"/>
                <w:i w:val="false"/>
                <w:color w:val="000000"/>
                <w:sz w:val="20"/>
              </w:rPr>
              <w:t>
Макао)</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Shanxi</w:t>
            </w:r>
            <w:r>
              <w:br/>
            </w:r>
            <w:r>
              <w:rPr>
                <w:rFonts w:ascii="Times New Roman"/>
                <w:b w:val="false"/>
                <w:i w:val="false"/>
                <w:color w:val="000000"/>
                <w:sz w:val="20"/>
              </w:rPr>
              <w:t>
Taigang</w:t>
            </w:r>
            <w:r>
              <w:br/>
            </w:r>
            <w:r>
              <w:rPr>
                <w:rFonts w:ascii="Times New Roman"/>
                <w:b w:val="false"/>
                <w:i w:val="false"/>
                <w:color w:val="000000"/>
                <w:sz w:val="20"/>
              </w:rPr>
              <w:t>
Stainless</w:t>
            </w:r>
            <w:r>
              <w:br/>
            </w:r>
            <w:r>
              <w:rPr>
                <w:rFonts w:ascii="Times New Roman"/>
                <w:b w:val="false"/>
                <w:i w:val="false"/>
                <w:color w:val="000000"/>
                <w:sz w:val="20"/>
              </w:rPr>
              <w:t>
Steel Co.,</w:t>
            </w:r>
            <w:r>
              <w:br/>
            </w:r>
            <w:r>
              <w:rPr>
                <w:rFonts w:ascii="Times New Roman"/>
                <w:b w:val="false"/>
                <w:i w:val="false"/>
                <w:color w:val="000000"/>
                <w:sz w:val="20"/>
              </w:rPr>
              <w:t>
Ltd. (КНР,</w:t>
            </w:r>
            <w:r>
              <w:br/>
            </w:r>
            <w:r>
              <w:rPr>
                <w:rFonts w:ascii="Times New Roman"/>
                <w:b w:val="false"/>
                <w:i w:val="false"/>
                <w:color w:val="000000"/>
                <w:sz w:val="20"/>
              </w:rPr>
              <w:t>
провинция</w:t>
            </w:r>
            <w:r>
              <w:br/>
            </w:r>
            <w:r>
              <w:rPr>
                <w:rFonts w:ascii="Times New Roman"/>
                <w:b w:val="false"/>
                <w:i w:val="false"/>
                <w:color w:val="000000"/>
                <w:sz w:val="20"/>
              </w:rPr>
              <w:t>
Шаньси, г.</w:t>
            </w:r>
            <w:r>
              <w:br/>
            </w:r>
            <w:r>
              <w:rPr>
                <w:rFonts w:ascii="Times New Roman"/>
                <w:b w:val="false"/>
                <w:i w:val="false"/>
                <w:color w:val="000000"/>
                <w:sz w:val="20"/>
              </w:rPr>
              <w:t>
Тайюань,</w:t>
            </w:r>
            <w:r>
              <w:br/>
            </w:r>
            <w:r>
              <w:rPr>
                <w:rFonts w:ascii="Times New Roman"/>
                <w:b w:val="false"/>
                <w:i w:val="false"/>
                <w:color w:val="000000"/>
                <w:sz w:val="20"/>
              </w:rPr>
              <w:t>
Цзянь Сяопин</w:t>
            </w:r>
            <w:r>
              <w:br/>
            </w:r>
            <w:r>
              <w:rPr>
                <w:rFonts w:ascii="Times New Roman"/>
                <w:b w:val="false"/>
                <w:i w:val="false"/>
                <w:color w:val="000000"/>
                <w:sz w:val="20"/>
              </w:rPr>
              <w:t>
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Yeun Chyang</w:t>
            </w:r>
            <w:r>
              <w:br/>
            </w:r>
            <w:r>
              <w:rPr>
                <w:rFonts w:ascii="Times New Roman"/>
                <w:b w:val="false"/>
                <w:i w:val="false"/>
                <w:color w:val="000000"/>
                <w:sz w:val="20"/>
              </w:rPr>
              <w:t>
Industrial</w:t>
            </w:r>
            <w:r>
              <w:br/>
            </w:r>
            <w:r>
              <w:rPr>
                <w:rFonts w:ascii="Times New Roman"/>
                <w:b w:val="false"/>
                <w:i w:val="false"/>
                <w:color w:val="000000"/>
                <w:sz w:val="20"/>
              </w:rPr>
              <w:t>
Co., Ltd.</w:t>
            </w:r>
            <w:r>
              <w:br/>
            </w:r>
            <w:r>
              <w:rPr>
                <w:rFonts w:ascii="Times New Roman"/>
                <w:b w:val="false"/>
                <w:i w:val="false"/>
                <w:color w:val="000000"/>
                <w:sz w:val="20"/>
              </w:rPr>
              <w:t>
(Тайвань,</w:t>
            </w:r>
            <w:r>
              <w:br/>
            </w:r>
            <w:r>
              <w:rPr>
                <w:rFonts w:ascii="Times New Roman"/>
                <w:b w:val="false"/>
                <w:i w:val="false"/>
                <w:color w:val="000000"/>
                <w:sz w:val="20"/>
              </w:rPr>
              <w:t>
Чанг-Хуа,</w:t>
            </w:r>
            <w:r>
              <w:br/>
            </w:r>
            <w:r>
              <w:rPr>
                <w:rFonts w:ascii="Times New Roman"/>
                <w:b w:val="false"/>
                <w:i w:val="false"/>
                <w:color w:val="000000"/>
                <w:sz w:val="20"/>
              </w:rPr>
              <w:t>
Шиджу Шианг,</w:t>
            </w:r>
            <w:r>
              <w:br/>
            </w:r>
            <w:r>
              <w:rPr>
                <w:rFonts w:ascii="Times New Roman"/>
                <w:b w:val="false"/>
                <w:i w:val="false"/>
                <w:color w:val="000000"/>
                <w:sz w:val="20"/>
              </w:rPr>
              <w:t>
Юнгшан Роуд,</w:t>
            </w:r>
            <w:r>
              <w:br/>
            </w:r>
            <w:r>
              <w:rPr>
                <w:rFonts w:ascii="Times New Roman"/>
                <w:b w:val="false"/>
                <w:i w:val="false"/>
                <w:color w:val="000000"/>
                <w:sz w:val="20"/>
              </w:rPr>
              <w:t>
Секция 4, №</w:t>
            </w:r>
            <w:r>
              <w:br/>
            </w:r>
            <w:r>
              <w:rPr>
                <w:rFonts w:ascii="Times New Roman"/>
                <w:b w:val="false"/>
                <w:i w:val="false"/>
                <w:color w:val="000000"/>
                <w:sz w:val="20"/>
              </w:rPr>
              <w:t>
270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Корея</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POSCO</w:t>
            </w:r>
            <w:r>
              <w:br/>
            </w:r>
            <w:r>
              <w:rPr>
                <w:rFonts w:ascii="Times New Roman"/>
                <w:b w:val="false"/>
                <w:i w:val="false"/>
                <w:color w:val="000000"/>
                <w:sz w:val="20"/>
              </w:rPr>
              <w:t>
(Республика</w:t>
            </w:r>
            <w:r>
              <w:br/>
            </w:r>
            <w:r>
              <w:rPr>
                <w:rFonts w:ascii="Times New Roman"/>
                <w:b w:val="false"/>
                <w:i w:val="false"/>
                <w:color w:val="000000"/>
                <w:sz w:val="20"/>
              </w:rPr>
              <w:t>
Корея, Сеул</w:t>
            </w:r>
            <w:r>
              <w:br/>
            </w:r>
            <w:r>
              <w:rPr>
                <w:rFonts w:ascii="Times New Roman"/>
                <w:b w:val="false"/>
                <w:i w:val="false"/>
                <w:color w:val="000000"/>
                <w:sz w:val="20"/>
              </w:rPr>
              <w:t>
135-777,</w:t>
            </w:r>
            <w:r>
              <w:br/>
            </w:r>
            <w:r>
              <w:rPr>
                <w:rFonts w:ascii="Times New Roman"/>
                <w:b w:val="false"/>
                <w:i w:val="false"/>
                <w:color w:val="000000"/>
                <w:sz w:val="20"/>
              </w:rPr>
              <w:t>
Кангнам-гу,</w:t>
            </w:r>
            <w:r>
              <w:br/>
            </w:r>
            <w:r>
              <w:rPr>
                <w:rFonts w:ascii="Times New Roman"/>
                <w:b w:val="false"/>
                <w:i w:val="false"/>
                <w:color w:val="000000"/>
                <w:sz w:val="20"/>
              </w:rPr>
              <w:t>
Даэчи-4-донг,</w:t>
            </w:r>
            <w:r>
              <w:br/>
            </w:r>
            <w:r>
              <w:rPr>
                <w:rFonts w:ascii="Times New Roman"/>
                <w:b w:val="false"/>
                <w:i w:val="false"/>
                <w:color w:val="000000"/>
                <w:sz w:val="20"/>
              </w:rPr>
              <w:t>
892, ПОСКО</w:t>
            </w:r>
            <w:r>
              <w:br/>
            </w:r>
            <w:r>
              <w:rPr>
                <w:rFonts w:ascii="Times New Roman"/>
                <w:b w:val="false"/>
                <w:i w:val="false"/>
                <w:color w:val="000000"/>
                <w:sz w:val="20"/>
              </w:rPr>
              <w:t>
Центр)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Daimyung TMS</w:t>
            </w:r>
            <w:r>
              <w:br/>
            </w:r>
            <w:r>
              <w:rPr>
                <w:rFonts w:ascii="Times New Roman"/>
                <w:b w:val="false"/>
                <w:i w:val="false"/>
                <w:color w:val="000000"/>
                <w:sz w:val="20"/>
              </w:rPr>
              <w:t>
Co., Ltd.</w:t>
            </w:r>
            <w:r>
              <w:br/>
            </w:r>
            <w:r>
              <w:rPr>
                <w:rFonts w:ascii="Times New Roman"/>
                <w:b w:val="false"/>
                <w:i w:val="false"/>
                <w:color w:val="000000"/>
                <w:sz w:val="20"/>
              </w:rPr>
              <w:t>
(Республика</w:t>
            </w:r>
            <w:r>
              <w:br/>
            </w:r>
            <w:r>
              <w:rPr>
                <w:rFonts w:ascii="Times New Roman"/>
                <w:b w:val="false"/>
                <w:i w:val="false"/>
                <w:color w:val="000000"/>
                <w:sz w:val="20"/>
              </w:rPr>
              <w:t>
Корея,</w:t>
            </w:r>
            <w:r>
              <w:br/>
            </w:r>
            <w:r>
              <w:rPr>
                <w:rFonts w:ascii="Times New Roman"/>
                <w:b w:val="false"/>
                <w:i w:val="false"/>
                <w:color w:val="000000"/>
                <w:sz w:val="20"/>
              </w:rPr>
              <w:t>
Кьянгки-До,</w:t>
            </w:r>
            <w:r>
              <w:br/>
            </w:r>
            <w:r>
              <w:rPr>
                <w:rFonts w:ascii="Times New Roman"/>
                <w:b w:val="false"/>
                <w:i w:val="false"/>
                <w:color w:val="000000"/>
                <w:sz w:val="20"/>
              </w:rPr>
              <w:t>
Шихунг-Си,</w:t>
            </w:r>
            <w:r>
              <w:br/>
            </w:r>
            <w:r>
              <w:rPr>
                <w:rFonts w:ascii="Times New Roman"/>
                <w:b w:val="false"/>
                <w:i w:val="false"/>
                <w:color w:val="000000"/>
                <w:sz w:val="20"/>
              </w:rPr>
              <w:t>
Джюнгванг-Донг,</w:t>
            </w:r>
            <w:r>
              <w:br/>
            </w:r>
            <w:r>
              <w:rPr>
                <w:rFonts w:ascii="Times New Roman"/>
                <w:b w:val="false"/>
                <w:i w:val="false"/>
                <w:color w:val="000000"/>
                <w:sz w:val="20"/>
              </w:rPr>
              <w:t>
№ 1256-13) и</w:t>
            </w:r>
            <w:r>
              <w:br/>
            </w:r>
            <w:r>
              <w:rPr>
                <w:rFonts w:ascii="Times New Roman"/>
                <w:b w:val="false"/>
                <w:i w:val="false"/>
                <w:color w:val="000000"/>
                <w:sz w:val="20"/>
              </w:rPr>
              <w:t>
Taihan</w:t>
            </w:r>
            <w:r>
              <w:br/>
            </w:r>
            <w:r>
              <w:rPr>
                <w:rFonts w:ascii="Times New Roman"/>
                <w:b w:val="false"/>
                <w:i w:val="false"/>
                <w:color w:val="000000"/>
                <w:sz w:val="20"/>
              </w:rPr>
              <w:t>
ST Co. Ltd.</w:t>
            </w:r>
            <w:r>
              <w:br/>
            </w:r>
            <w:r>
              <w:rPr>
                <w:rFonts w:ascii="Times New Roman"/>
                <w:b w:val="false"/>
                <w:i w:val="false"/>
                <w:color w:val="000000"/>
                <w:sz w:val="20"/>
              </w:rPr>
              <w:t>
(Республика</w:t>
            </w:r>
            <w:r>
              <w:br/>
            </w:r>
            <w:r>
              <w:rPr>
                <w:rFonts w:ascii="Times New Roman"/>
                <w:b w:val="false"/>
                <w:i w:val="false"/>
                <w:color w:val="000000"/>
                <w:sz w:val="20"/>
              </w:rPr>
              <w:t>
Корея,</w:t>
            </w:r>
            <w:r>
              <w:br/>
            </w:r>
            <w:r>
              <w:rPr>
                <w:rFonts w:ascii="Times New Roman"/>
                <w:b w:val="false"/>
                <w:i w:val="false"/>
                <w:color w:val="000000"/>
                <w:sz w:val="20"/>
              </w:rPr>
              <w:t>
Кьянгки-До,</w:t>
            </w:r>
            <w:r>
              <w:br/>
            </w:r>
            <w:r>
              <w:rPr>
                <w:rFonts w:ascii="Times New Roman"/>
                <w:b w:val="false"/>
                <w:i w:val="false"/>
                <w:color w:val="000000"/>
                <w:sz w:val="20"/>
              </w:rPr>
              <w:t>
Ансан-Си,</w:t>
            </w:r>
            <w:r>
              <w:br/>
            </w:r>
            <w:r>
              <w:rPr>
                <w:rFonts w:ascii="Times New Roman"/>
                <w:b w:val="false"/>
                <w:i w:val="false"/>
                <w:color w:val="000000"/>
                <w:sz w:val="20"/>
              </w:rPr>
              <w:t>
Данвон-Гу,</w:t>
            </w:r>
            <w:r>
              <w:br/>
            </w:r>
            <w:r>
              <w:rPr>
                <w:rFonts w:ascii="Times New Roman"/>
                <w:b w:val="false"/>
                <w:i w:val="false"/>
                <w:color w:val="000000"/>
                <w:sz w:val="20"/>
              </w:rPr>
              <w:t>
Сеонгкок-Донг,</w:t>
            </w:r>
            <w:r>
              <w:br/>
            </w:r>
            <w:r>
              <w:rPr>
                <w:rFonts w:ascii="Times New Roman"/>
                <w:b w:val="false"/>
                <w:i w:val="false"/>
                <w:color w:val="000000"/>
                <w:sz w:val="20"/>
              </w:rPr>
              <w:t>
№ 603)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Федеративная</w:t>
            </w:r>
            <w:r>
              <w:br/>
            </w:r>
            <w:r>
              <w:rPr>
                <w:rFonts w:ascii="Times New Roman"/>
                <w:b w:val="false"/>
                <w:i w:val="false"/>
                <w:color w:val="000000"/>
                <w:sz w:val="20"/>
              </w:rPr>
              <w:t>
Республика</w:t>
            </w:r>
            <w:r>
              <w:br/>
            </w:r>
            <w:r>
              <w:rPr>
                <w:rFonts w:ascii="Times New Roman"/>
                <w:b w:val="false"/>
                <w:i w:val="false"/>
                <w:color w:val="000000"/>
                <w:sz w:val="20"/>
              </w:rPr>
              <w:t>
Бразилия</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Южно-Афри-</w:t>
            </w:r>
            <w:r>
              <w:br/>
            </w:r>
            <w:r>
              <w:rPr>
                <w:rFonts w:ascii="Times New Roman"/>
                <w:b w:val="false"/>
                <w:i w:val="false"/>
                <w:color w:val="000000"/>
                <w:sz w:val="20"/>
              </w:rPr>
              <w:t>
канская</w:t>
            </w:r>
            <w:r>
              <w:br/>
            </w:r>
            <w:r>
              <w:rPr>
                <w:rFonts w:ascii="Times New Roman"/>
                <w:b w:val="false"/>
                <w:i w:val="false"/>
                <w:color w:val="000000"/>
                <w:sz w:val="20"/>
              </w:rPr>
              <w:t>
Республика</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bl>
    <w:bookmarkStart w:name="z9" w:id="3"/>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22 июня 2011 г. № 699</w:t>
      </w:r>
    </w:p>
    <w:bookmarkEnd w:id="3"/>
    <w:bookmarkStart w:name="z10" w:id="4"/>
    <w:p>
      <w:pPr>
        <w:spacing w:after="0"/>
        <w:ind w:left="0"/>
        <w:jc w:val="left"/>
      </w:pPr>
      <w:r>
        <w:rPr>
          <w:rFonts w:ascii="Times New Roman"/>
          <w:b/>
          <w:i w:val="false"/>
          <w:color w:val="000000"/>
        </w:rPr>
        <w:t xml:space="preserve"> 
ПЕРЕЧЕНЬ</w:t>
      </w:r>
      <w:r>
        <w:br/>
      </w:r>
      <w:r>
        <w:rPr>
          <w:rFonts w:ascii="Times New Roman"/>
          <w:b/>
          <w:i w:val="false"/>
          <w:color w:val="000000"/>
        </w:rPr>
        <w:t>
разновидностей никельсодержащего плоского проката</w:t>
      </w:r>
      <w:r>
        <w:br/>
      </w:r>
      <w:r>
        <w:rPr>
          <w:rFonts w:ascii="Times New Roman"/>
          <w:b/>
          <w:i w:val="false"/>
          <w:color w:val="000000"/>
        </w:rPr>
        <w:t>
из коррозионностойкой стали, на которые не</w:t>
      </w:r>
      <w:r>
        <w:br/>
      </w:r>
      <w:r>
        <w:rPr>
          <w:rFonts w:ascii="Times New Roman"/>
          <w:b/>
          <w:i w:val="false"/>
          <w:color w:val="000000"/>
        </w:rPr>
        <w:t>
распространяется действие антидемпинговой пошлины</w:t>
      </w:r>
    </w:p>
    <w:bookmarkEnd w:id="4"/>
    <w:p>
      <w:pPr>
        <w:spacing w:after="0"/>
        <w:ind w:left="0"/>
        <w:jc w:val="both"/>
      </w:pPr>
      <w:r>
        <w:rPr>
          <w:rFonts w:ascii="Times New Roman"/>
          <w:b w:val="false"/>
          <w:i w:val="false"/>
          <w:color w:val="000000"/>
          <w:sz w:val="28"/>
        </w:rPr>
        <w:t>      1. Горячекатаный прокат шириной более 2000 мм</w:t>
      </w:r>
    </w:p>
    <w:p>
      <w:pPr>
        <w:spacing w:after="0"/>
        <w:ind w:left="0"/>
        <w:jc w:val="both"/>
      </w:pPr>
      <w:r>
        <w:rPr>
          <w:rFonts w:ascii="Times New Roman"/>
          <w:b w:val="false"/>
          <w:i w:val="false"/>
          <w:color w:val="000000"/>
          <w:sz w:val="28"/>
        </w:rPr>
        <w:t>      2. Горячекатаный прокат толщиной менее 2 мм</w:t>
      </w:r>
    </w:p>
    <w:p>
      <w:pPr>
        <w:spacing w:after="0"/>
        <w:ind w:left="0"/>
        <w:jc w:val="both"/>
      </w:pPr>
      <w:r>
        <w:rPr>
          <w:rFonts w:ascii="Times New Roman"/>
          <w:b w:val="false"/>
          <w:i w:val="false"/>
          <w:color w:val="000000"/>
          <w:sz w:val="28"/>
        </w:rPr>
        <w:t>      3. Горячекатаный прокат длиной более 6500 мм</w:t>
      </w:r>
    </w:p>
    <w:p>
      <w:pPr>
        <w:spacing w:after="0"/>
        <w:ind w:left="0"/>
        <w:jc w:val="both"/>
      </w:pPr>
      <w:r>
        <w:rPr>
          <w:rFonts w:ascii="Times New Roman"/>
          <w:b w:val="false"/>
          <w:i w:val="false"/>
          <w:color w:val="000000"/>
          <w:sz w:val="28"/>
        </w:rPr>
        <w:t>      4. Холоднокатаный прокат толщиной менее 0,3 мм или более 3 мм</w:t>
      </w:r>
    </w:p>
    <w:p>
      <w:pPr>
        <w:spacing w:after="0"/>
        <w:ind w:left="0"/>
        <w:jc w:val="both"/>
      </w:pPr>
      <w:r>
        <w:rPr>
          <w:rFonts w:ascii="Times New Roman"/>
          <w:b w:val="false"/>
          <w:i w:val="false"/>
          <w:color w:val="000000"/>
          <w:sz w:val="28"/>
        </w:rPr>
        <w:t>      5. Холоднокатаный прокат толщиной от 0,3 мм и до 3 мм включительно и шириной более 1500 мм</w:t>
      </w:r>
    </w:p>
    <w:p>
      <w:pPr>
        <w:spacing w:after="0"/>
        <w:ind w:left="0"/>
        <w:jc w:val="both"/>
      </w:pPr>
      <w:r>
        <w:rPr>
          <w:rFonts w:ascii="Times New Roman"/>
          <w:b w:val="false"/>
          <w:i w:val="false"/>
          <w:color w:val="000000"/>
          <w:sz w:val="28"/>
        </w:rPr>
        <w:t>      6. С полимерным покрытием</w:t>
      </w:r>
    </w:p>
    <w:p>
      <w:pPr>
        <w:spacing w:after="0"/>
        <w:ind w:left="0"/>
        <w:jc w:val="both"/>
      </w:pPr>
      <w:r>
        <w:rPr>
          <w:rFonts w:ascii="Times New Roman"/>
          <w:b w:val="false"/>
          <w:i w:val="false"/>
          <w:color w:val="000000"/>
          <w:sz w:val="28"/>
        </w:rPr>
        <w:t>      7. Произведенный из марок стали 1.4310 (AISI 301 по ASTM) и 1.4372 (AISI 201 по ASTM) по EN 10088-2/EN 10151 толщиной 0,3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