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d908" w14:textId="764d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Cоглашения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15 июля 2011 года № 707. Утратил силу решением Коллегии Евразийской экономической комиссии от 16 октября 2018 года № 159.</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16.10.2018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Принять за основу </w:t>
      </w:r>
      <w:r>
        <w:rPr>
          <w:rFonts w:ascii="Times New Roman"/>
          <w:b w:val="false"/>
          <w:i w:val="false"/>
          <w:color w:val="000000"/>
          <w:sz w:val="28"/>
        </w:rPr>
        <w:t>проект</w:t>
      </w:r>
      <w:r>
        <w:rPr>
          <w:rFonts w:ascii="Times New Roman"/>
          <w:b w:val="false"/>
          <w:i w:val="false"/>
          <w:color w:val="000000"/>
          <w:sz w:val="28"/>
        </w:rPr>
        <w:t xml:space="preserve">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 (далее – проект Соглашения,прилагается).</w:t>
      </w:r>
    </w:p>
    <w:bookmarkEnd w:id="1"/>
    <w:bookmarkStart w:name="z3" w:id="2"/>
    <w:p>
      <w:pPr>
        <w:spacing w:after="0"/>
        <w:ind w:left="0"/>
        <w:jc w:val="both"/>
      </w:pPr>
      <w:r>
        <w:rPr>
          <w:rFonts w:ascii="Times New Roman"/>
          <w:b w:val="false"/>
          <w:i w:val="false"/>
          <w:color w:val="000000"/>
          <w:sz w:val="28"/>
        </w:rPr>
        <w:t>
      2. Просить Стороны до 16 августа 2011 года провести внутригосударственное согласование проекта Соглашения.</w:t>
      </w:r>
    </w:p>
    <w:bookmarkEnd w:id="2"/>
    <w:bookmarkStart w:name="z4" w:id="3"/>
    <w:p>
      <w:pPr>
        <w:spacing w:after="0"/>
        <w:ind w:left="0"/>
        <w:jc w:val="both"/>
      </w:pPr>
      <w:r>
        <w:rPr>
          <w:rFonts w:ascii="Times New Roman"/>
          <w:b w:val="false"/>
          <w:i w:val="false"/>
          <w:color w:val="000000"/>
          <w:sz w:val="28"/>
        </w:rPr>
        <w:t>
      3. Секретариату Комиссии Таможенного союза до 1 сентября 2011 года разработать и направить Сторонам проект межправительственного протокола о перевозке товаров с использованием книжки МДП по таможенной территории Таможенного союза между двумя пунктами, расположенными на таможенной территории Таможенного союза, без осуществления перевозки товаров через территорию государства, не являющегося государством – членом Таможенного союза.</w:t>
      </w:r>
    </w:p>
    <w:bookmarkEnd w:id="3"/>
    <w:tbl>
      <w:tblPr>
        <w:tblW w:w="0" w:type="auto"/>
        <w:tblCellSpacing w:w="0" w:type="auto"/>
        <w:tblBorders>
          <w:top w:val="none"/>
          <w:left w:val="none"/>
          <w:bottom w:val="none"/>
          <w:right w:val="none"/>
          <w:insideH w:val="none"/>
          <w:insideV w:val="none"/>
        </w:tblBorders>
      </w:tblPr>
      <w:tblGrid>
        <w:gridCol w:w="5695"/>
        <w:gridCol w:w="6605"/>
      </w:tblGrid>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 таможенного союза:</w:t>
            </w:r>
          </w:p>
        </w:tc>
        <w:tc>
          <w:tcPr>
            <w:tcW w:w="6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От Российской</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Федерации</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года № 707</w:t>
            </w:r>
            <w:r>
              <w:br/>
            </w:r>
            <w:r>
              <w:rPr>
                <w:rFonts w:ascii="Times New Roman"/>
                <w:b w:val="false"/>
                <w:i w:val="false"/>
                <w:color w:val="000000"/>
                <w:sz w:val="20"/>
              </w:rPr>
              <w:t>Проект</w:t>
            </w:r>
          </w:p>
        </w:tc>
      </w:tr>
    </w:tbl>
    <w:bookmarkStart w:name="z7" w:id="4"/>
    <w:p>
      <w:pPr>
        <w:spacing w:after="0"/>
        <w:ind w:left="0"/>
        <w:jc w:val="left"/>
      </w:pPr>
      <w:r>
        <w:rPr>
          <w:rFonts w:ascii="Times New Roman"/>
          <w:b/>
          <w:i w:val="false"/>
          <w:color w:val="000000"/>
        </w:rPr>
        <w:t xml:space="preserve"> СОГЛАШЕНИЕ</w:t>
      </w:r>
      <w:r>
        <w:br/>
      </w:r>
      <w:r>
        <w:rPr>
          <w:rFonts w:ascii="Times New Roman"/>
          <w:b/>
          <w:i w:val="false"/>
          <w:color w:val="000000"/>
        </w:rPr>
        <w:t>об особенностях применения Таможенной конвенции о международной</w:t>
      </w:r>
      <w:r>
        <w:br/>
      </w:r>
      <w:r>
        <w:rPr>
          <w:rFonts w:ascii="Times New Roman"/>
          <w:b/>
          <w:i w:val="false"/>
          <w:color w:val="000000"/>
        </w:rPr>
        <w:t>перевозке грузов с применением книжки МДП 1975 года на таможенной</w:t>
      </w:r>
      <w:r>
        <w:br/>
      </w:r>
      <w:r>
        <w:rPr>
          <w:rFonts w:ascii="Times New Roman"/>
          <w:b/>
          <w:i w:val="false"/>
          <w:color w:val="000000"/>
        </w:rPr>
        <w:t>территории Таможенного союза</w:t>
      </w:r>
    </w:p>
    <w:bookmarkEnd w:id="4"/>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p>
    <w:p>
      <w:pPr>
        <w:spacing w:after="0"/>
        <w:ind w:left="0"/>
        <w:jc w:val="both"/>
      </w:pPr>
      <w:r>
        <w:rPr>
          <w:rFonts w:ascii="Times New Roman"/>
          <w:b w:val="false"/>
          <w:i w:val="false"/>
          <w:color w:val="000000"/>
          <w:sz w:val="28"/>
        </w:rPr>
        <w:t>
      учитывая, что государства – члены Таможенного союза являются Договаривающимися сторонами Таможенной конвенции о международной перевозке грузов с применением книжки МДП от 14 ноября 1975 года (далее – Конвенция МДП),</w:t>
      </w:r>
    </w:p>
    <w:p>
      <w:pPr>
        <w:spacing w:after="0"/>
        <w:ind w:left="0"/>
        <w:jc w:val="both"/>
      </w:pPr>
      <w:r>
        <w:rPr>
          <w:rFonts w:ascii="Times New Roman"/>
          <w:b w:val="false"/>
          <w:i w:val="false"/>
          <w:color w:val="000000"/>
          <w:sz w:val="28"/>
        </w:rPr>
        <w:t>
      основываясь на положениях статей 48 и 49 Конвенции МДП, не исключающих права Договаривающихся сторон, образующих таможенный или экономический союз, применять особые правила и большие льготы в отношении перевозок, местом отправления или назначения которых являются их территории, или осуществляемых транзитом через их территории, в целях упрощения совершения таможенных операций на таможенной территории Таможенного союза,</w:t>
      </w:r>
    </w:p>
    <w:p>
      <w:pPr>
        <w:spacing w:after="0"/>
        <w:ind w:left="0"/>
        <w:jc w:val="both"/>
      </w:pPr>
      <w:r>
        <w:rPr>
          <w:rFonts w:ascii="Times New Roman"/>
          <w:b w:val="false"/>
          <w:i w:val="false"/>
          <w:color w:val="000000"/>
          <w:sz w:val="28"/>
        </w:rPr>
        <w:t>
      стремясь к применению на таможенной территории Таможенного союза таких правил в отношении перевозок МДП, которые не ограничивали бы льгот, предусмотренных Конвенцией МДП, не препятствовали бы применению положений Конвенции МДП и не вводили бы никаких дополнительных формальностей и требований к держателям книжек МДП,</w:t>
      </w:r>
    </w:p>
    <w:p>
      <w:pPr>
        <w:spacing w:after="0"/>
        <w:ind w:left="0"/>
        <w:jc w:val="both"/>
      </w:pPr>
      <w:r>
        <w:rPr>
          <w:rFonts w:ascii="Times New Roman"/>
          <w:b w:val="false"/>
          <w:i w:val="false"/>
          <w:color w:val="000000"/>
          <w:sz w:val="28"/>
        </w:rPr>
        <w:t>
      в целях определения особенностей применения Конвенции МДП на таможенной территории Таможенного союза</w:t>
      </w:r>
    </w:p>
    <w:p>
      <w:pPr>
        <w:spacing w:after="0"/>
        <w:ind w:left="0"/>
        <w:jc w:val="both"/>
      </w:pPr>
      <w:r>
        <w:rPr>
          <w:rFonts w:ascii="Times New Roman"/>
          <w:b w:val="false"/>
          <w:i w:val="false"/>
          <w:color w:val="000000"/>
          <w:sz w:val="28"/>
        </w:rPr>
        <w:t>
      согласились о нижеследующем:</w:t>
      </w:r>
    </w:p>
    <w:bookmarkStart w:name="z8" w:id="5"/>
    <w:p>
      <w:pPr>
        <w:spacing w:after="0"/>
        <w:ind w:left="0"/>
        <w:jc w:val="left"/>
      </w:pPr>
      <w:r>
        <w:rPr>
          <w:rFonts w:ascii="Times New Roman"/>
          <w:b/>
          <w:i w:val="false"/>
          <w:color w:val="000000"/>
        </w:rPr>
        <w:t xml:space="preserve"> Статья 1</w:t>
      </w:r>
    </w:p>
    <w:bookmarkEnd w:id="5"/>
    <w:p>
      <w:pPr>
        <w:spacing w:after="0"/>
        <w:ind w:left="0"/>
        <w:jc w:val="both"/>
      </w:pPr>
      <w:r>
        <w:rPr>
          <w:rFonts w:ascii="Times New Roman"/>
          <w:b w:val="false"/>
          <w:i w:val="false"/>
          <w:color w:val="000000"/>
          <w:sz w:val="28"/>
        </w:rPr>
        <w:t>
      Для целей настоящего Соглашения используемые в нем термины имеют значения, определенные Конвенцией МДП и таможенным законодательством таможенного союза.</w:t>
      </w:r>
    </w:p>
    <w:bookmarkStart w:name="z9" w:id="6"/>
    <w:p>
      <w:pPr>
        <w:spacing w:after="0"/>
        <w:ind w:left="0"/>
        <w:jc w:val="left"/>
      </w:pPr>
      <w:r>
        <w:rPr>
          <w:rFonts w:ascii="Times New Roman"/>
          <w:b/>
          <w:i w:val="false"/>
          <w:color w:val="000000"/>
        </w:rPr>
        <w:t xml:space="preserve"> Статья 2</w:t>
      </w:r>
    </w:p>
    <w:bookmarkEnd w:id="6"/>
    <w:bookmarkStart w:name="z10" w:id="7"/>
    <w:p>
      <w:pPr>
        <w:spacing w:after="0"/>
        <w:ind w:left="0"/>
        <w:jc w:val="both"/>
      </w:pPr>
      <w:r>
        <w:rPr>
          <w:rFonts w:ascii="Times New Roman"/>
          <w:b w:val="false"/>
          <w:i w:val="false"/>
          <w:color w:val="000000"/>
          <w:sz w:val="28"/>
        </w:rPr>
        <w:t>
      1. Таможенные органы государств – членов Таможенного союза при осуществлении таможенных операций и проведении таможенного контроля товаров, перемещаемых с использованием книжки МДП, руководствуются положениями Конвенции МДП, таможенного законодательства Таможенного союза и государств – членов Таможенного союза.</w:t>
      </w:r>
    </w:p>
    <w:bookmarkEnd w:id="7"/>
    <w:bookmarkStart w:name="z11" w:id="8"/>
    <w:p>
      <w:pPr>
        <w:spacing w:after="0"/>
        <w:ind w:left="0"/>
        <w:jc w:val="both"/>
      </w:pPr>
      <w:r>
        <w:rPr>
          <w:rFonts w:ascii="Times New Roman"/>
          <w:b w:val="false"/>
          <w:i w:val="false"/>
          <w:color w:val="000000"/>
          <w:sz w:val="28"/>
        </w:rPr>
        <w:t>
      2. Если товары перевозятся по таможенной территории Таможенного союза с использованием книжки МДП, таможенная территория таможенного союза для целей такой перевозки рассматривается как единая территория.</w:t>
      </w:r>
    </w:p>
    <w:bookmarkEnd w:id="8"/>
    <w:bookmarkStart w:name="z12" w:id="9"/>
    <w:p>
      <w:pPr>
        <w:spacing w:after="0"/>
        <w:ind w:left="0"/>
        <w:jc w:val="both"/>
      </w:pPr>
      <w:r>
        <w:rPr>
          <w:rFonts w:ascii="Times New Roman"/>
          <w:b w:val="false"/>
          <w:i w:val="false"/>
          <w:color w:val="000000"/>
          <w:sz w:val="28"/>
        </w:rPr>
        <w:t>
      3. Перевозка товаров с использованием книжки МДП по таможенной территории Таможенного союза допускается только в случаях, если она начинается и (или) заканчивается за пределами таможенной территории Таможенного союза, либо если перевозка между двумя пунктами, расположенными на таможенной территории Таможенного союза, осуществляется через территорию государства, не являющегося государством-членом Таможенного союза.</w:t>
      </w:r>
    </w:p>
    <w:bookmarkEnd w:id="9"/>
    <w:bookmarkStart w:name="z13" w:id="10"/>
    <w:p>
      <w:pPr>
        <w:spacing w:after="0"/>
        <w:ind w:left="0"/>
        <w:jc w:val="both"/>
      </w:pPr>
      <w:r>
        <w:rPr>
          <w:rFonts w:ascii="Times New Roman"/>
          <w:b w:val="false"/>
          <w:i w:val="false"/>
          <w:color w:val="000000"/>
          <w:sz w:val="28"/>
        </w:rPr>
        <w:t>
      4. Возможность перевозки товаров с использованием книжки МДП по таможенной территории Таможенного союза между двумя пунктами, расположенными на таможенной территории Таможенного союза, без осуществления перевозки товаров через территорию государства, не являющегося государством – членом Таможенного союза, устанавливается отдельным межправительственным протоколом государств – членов Таможенного союза.</w:t>
      </w:r>
    </w:p>
    <w:bookmarkEnd w:id="10"/>
    <w:bookmarkStart w:name="z14" w:id="11"/>
    <w:p>
      <w:pPr>
        <w:spacing w:after="0"/>
        <w:ind w:left="0"/>
        <w:jc w:val="left"/>
      </w:pPr>
      <w:r>
        <w:rPr>
          <w:rFonts w:ascii="Times New Roman"/>
          <w:b/>
          <w:i w:val="false"/>
          <w:color w:val="000000"/>
        </w:rPr>
        <w:t xml:space="preserve"> Статья 3</w:t>
      </w:r>
    </w:p>
    <w:bookmarkEnd w:id="11"/>
    <w:bookmarkStart w:name="z15" w:id="12"/>
    <w:p>
      <w:pPr>
        <w:spacing w:after="0"/>
        <w:ind w:left="0"/>
        <w:jc w:val="both"/>
      </w:pPr>
      <w:r>
        <w:rPr>
          <w:rFonts w:ascii="Times New Roman"/>
          <w:b w:val="false"/>
          <w:i w:val="false"/>
          <w:color w:val="000000"/>
          <w:sz w:val="28"/>
        </w:rPr>
        <w:t>
      1. Книжка МДП, оформленная в соответствии с требованиями Конвенции МДП, может использоваться в качестве транзитной декларации при перемещении товаров по таможенной территории Таможенного союза в соответствии с таможенной процедурой таможенного транзита. Правила заполнения книжки МДП определяются положениями Конвенции МДП, таможенным законодательством государств – членов Таможенного союза с учетом примеров оптимальной практики применения Конвенции МДП, одобренных Административным комитетом Конвенции МДП. Книжка МДП вместе с товарами, транспортными средствами и относящимися к ним транспортными (перевозочными) и коммерческими документами предъявляется таможенным органам государств – членов Таможенного союза держателем книжки МДП для совершения таможенных операций и проведения таможенного контроля.</w:t>
      </w:r>
    </w:p>
    <w:bookmarkEnd w:id="12"/>
    <w:bookmarkStart w:name="z16" w:id="13"/>
    <w:p>
      <w:pPr>
        <w:spacing w:after="0"/>
        <w:ind w:left="0"/>
        <w:jc w:val="both"/>
      </w:pPr>
      <w:r>
        <w:rPr>
          <w:rFonts w:ascii="Times New Roman"/>
          <w:b w:val="false"/>
          <w:i w:val="false"/>
          <w:color w:val="000000"/>
          <w:sz w:val="28"/>
        </w:rPr>
        <w:t>
      2. Таможенными органами государств – членов Таможенного союзаоформляются два отрывных листа книжки МДП: отрывной лист № 1 (белый) – таможней места отправления либо промежуточной таможней, через которую товары ввозятся на таможенную территорию Таможенного союза, отрывной лист № 2 (зеленый) – промежуточной таможней, через которую товары вывозятся с таможенной территории Таможенного союза, либо таможней места назначения. В случае наличия на Таможенной территории Таможенного союза нескольких таможен места отправления либо нескольких таможен места назначения при перевозке товаров по одной книжке МДП для каждой дополнительной таможни оформляется дополнительная пара отрывных листов книжки МДП.</w:t>
      </w:r>
    </w:p>
    <w:bookmarkEnd w:id="13"/>
    <w:bookmarkStart w:name="z17" w:id="14"/>
    <w:p>
      <w:pPr>
        <w:spacing w:after="0"/>
        <w:ind w:left="0"/>
        <w:jc w:val="both"/>
      </w:pPr>
      <w:r>
        <w:rPr>
          <w:rFonts w:ascii="Times New Roman"/>
          <w:b w:val="false"/>
          <w:i w:val="false"/>
          <w:color w:val="000000"/>
          <w:sz w:val="28"/>
        </w:rPr>
        <w:t>
      3. Таможенные органы государств – членов Таможенного союза используют информационные технологии для обмена электронными сообщениями (сведениями в электронном виде) о начале и прекращении операции МДП, а также в целях реализации положений Приложения 10 к Конвенции МДП.</w:t>
      </w:r>
    </w:p>
    <w:bookmarkEnd w:id="14"/>
    <w:bookmarkStart w:name="z18" w:id="15"/>
    <w:p>
      <w:pPr>
        <w:spacing w:after="0"/>
        <w:ind w:left="0"/>
        <w:jc w:val="both"/>
      </w:pPr>
      <w:r>
        <w:rPr>
          <w:rFonts w:ascii="Times New Roman"/>
          <w:b w:val="false"/>
          <w:i w:val="false"/>
          <w:color w:val="000000"/>
          <w:sz w:val="28"/>
        </w:rPr>
        <w:t>
      4. Пересылка отрывных листов книжек МДП между таможенными органами государств – членов Таможенного союза осуществляется только по соответствующему запросу, в том числе в случае нарушения процедуры МДП.</w:t>
      </w:r>
    </w:p>
    <w:bookmarkEnd w:id="15"/>
    <w:bookmarkStart w:name="z19" w:id="16"/>
    <w:p>
      <w:pPr>
        <w:spacing w:after="0"/>
        <w:ind w:left="0"/>
        <w:jc w:val="both"/>
      </w:pPr>
      <w:r>
        <w:rPr>
          <w:rFonts w:ascii="Times New Roman"/>
          <w:b w:val="false"/>
          <w:i w:val="false"/>
          <w:color w:val="000000"/>
          <w:sz w:val="28"/>
        </w:rPr>
        <w:t>
      5. В случае расхождения между сведениями, содержащимися в электронных сообщениях, и сведениями, указанными в книжке МДП, последние являются определяющими.</w:t>
      </w:r>
    </w:p>
    <w:bookmarkEnd w:id="16"/>
    <w:bookmarkStart w:name="z20" w:id="17"/>
    <w:p>
      <w:pPr>
        <w:spacing w:after="0"/>
        <w:ind w:left="0"/>
        <w:jc w:val="left"/>
      </w:pPr>
      <w:r>
        <w:rPr>
          <w:rFonts w:ascii="Times New Roman"/>
          <w:b/>
          <w:i w:val="false"/>
          <w:color w:val="000000"/>
        </w:rPr>
        <w:t xml:space="preserve"> Статья 4</w:t>
      </w:r>
    </w:p>
    <w:bookmarkEnd w:id="17"/>
    <w:p>
      <w:pPr>
        <w:spacing w:after="0"/>
        <w:ind w:left="0"/>
        <w:jc w:val="both"/>
      </w:pPr>
      <w:r>
        <w:rPr>
          <w:rFonts w:ascii="Times New Roman"/>
          <w:b w:val="false"/>
          <w:i w:val="false"/>
          <w:color w:val="000000"/>
          <w:sz w:val="28"/>
        </w:rPr>
        <w:t>
      Контроль за фактом завершения операции МДП на таможенной территории Таможенного союза осуществляется таможней места отправления либо промежуточной таможней, в которой начата операция МДП, на основании сведений, полученных от таможни места назначения либо промежуточной таможни, в которой прекращена операция МДП.</w:t>
      </w:r>
    </w:p>
    <w:bookmarkStart w:name="z21" w:id="18"/>
    <w:p>
      <w:pPr>
        <w:spacing w:after="0"/>
        <w:ind w:left="0"/>
        <w:jc w:val="left"/>
      </w:pPr>
      <w:r>
        <w:rPr>
          <w:rFonts w:ascii="Times New Roman"/>
          <w:b/>
          <w:i w:val="false"/>
          <w:color w:val="000000"/>
        </w:rPr>
        <w:t xml:space="preserve"> Статья 5</w:t>
      </w:r>
    </w:p>
    <w:bookmarkEnd w:id="18"/>
    <w:bookmarkStart w:name="z22" w:id="19"/>
    <w:p>
      <w:pPr>
        <w:spacing w:after="0"/>
        <w:ind w:left="0"/>
        <w:jc w:val="both"/>
      </w:pPr>
      <w:r>
        <w:rPr>
          <w:rFonts w:ascii="Times New Roman"/>
          <w:b w:val="false"/>
          <w:i w:val="false"/>
          <w:color w:val="000000"/>
          <w:sz w:val="28"/>
        </w:rPr>
        <w:t>
      1. Книжка МДП подтверждает предоставление гарантийным объединением гарантии уплаты сумм таможенных пошлин, налогов, процентов за просрочку (пеней) в отношении перевозимых товаров.</w:t>
      </w:r>
    </w:p>
    <w:bookmarkEnd w:id="19"/>
    <w:bookmarkStart w:name="z23" w:id="20"/>
    <w:p>
      <w:pPr>
        <w:spacing w:after="0"/>
        <w:ind w:left="0"/>
        <w:jc w:val="both"/>
      </w:pPr>
      <w:r>
        <w:rPr>
          <w:rFonts w:ascii="Times New Roman"/>
          <w:b w:val="false"/>
          <w:i w:val="false"/>
          <w:color w:val="000000"/>
          <w:sz w:val="28"/>
        </w:rPr>
        <w:t>
      2. На таможенной территории Таможенного союза устанавливается единый максимальный размер сумм, уплаты которых по одной книжке МДП можно требовать в соответствии с предоставленной гарантией от гарантийного объединения на основании положений статьи 8 Конвенции МДП, равный 60000 евро в эквиваленте.</w:t>
      </w:r>
    </w:p>
    <w:bookmarkEnd w:id="20"/>
    <w:bookmarkStart w:name="z24" w:id="21"/>
    <w:p>
      <w:pPr>
        <w:spacing w:after="0"/>
        <w:ind w:left="0"/>
        <w:jc w:val="left"/>
      </w:pPr>
      <w:r>
        <w:rPr>
          <w:rFonts w:ascii="Times New Roman"/>
          <w:b/>
          <w:i w:val="false"/>
          <w:color w:val="000000"/>
        </w:rPr>
        <w:t xml:space="preserve"> Статья 6</w:t>
      </w:r>
    </w:p>
    <w:bookmarkEnd w:id="21"/>
    <w:bookmarkStart w:name="z25" w:id="22"/>
    <w:p>
      <w:pPr>
        <w:spacing w:after="0"/>
        <w:ind w:left="0"/>
        <w:jc w:val="both"/>
      </w:pPr>
      <w:r>
        <w:rPr>
          <w:rFonts w:ascii="Times New Roman"/>
          <w:b w:val="false"/>
          <w:i w:val="false"/>
          <w:color w:val="000000"/>
          <w:sz w:val="28"/>
        </w:rPr>
        <w:t>
      1. Гарантия уплаты таможенных пошлин, налогов, процентов за просрочку (пеней) в отношении товаров, перевозимых с применением книжки МДП, предоставляется гарантийными объединениями государств – членов Таможенного союза, которые, в случае нарушения процедуры МДП, несут ответственность перед таможенными органами государства – члена Таможенного союза, в котором они учреждены, за уплату таможенных пошлин, налогов, процентов за просрочку (пеней) в соответствии с положениями Конвенции МДП.</w:t>
      </w:r>
    </w:p>
    <w:bookmarkEnd w:id="22"/>
    <w:bookmarkStart w:name="z26" w:id="23"/>
    <w:p>
      <w:pPr>
        <w:spacing w:after="0"/>
        <w:ind w:left="0"/>
        <w:jc w:val="both"/>
      </w:pPr>
      <w:r>
        <w:rPr>
          <w:rFonts w:ascii="Times New Roman"/>
          <w:b w:val="false"/>
          <w:i w:val="false"/>
          <w:color w:val="000000"/>
          <w:sz w:val="28"/>
        </w:rPr>
        <w:t>
      2. Ответственность в отношении уплаты таможенных пошлин, налогов, процентов за просрочку (пеней) возникает у гарантийного объединения государства – члена Таможенного союза, на территории которого начинается операция МДП, с момента регистрации таможенными органами книжки МДП в качестве транзитной декларации.</w:t>
      </w:r>
    </w:p>
    <w:bookmarkEnd w:id="23"/>
    <w:bookmarkStart w:name="z27" w:id="24"/>
    <w:p>
      <w:pPr>
        <w:spacing w:after="0"/>
        <w:ind w:left="0"/>
        <w:jc w:val="both"/>
      </w:pPr>
      <w:r>
        <w:rPr>
          <w:rFonts w:ascii="Times New Roman"/>
          <w:b w:val="false"/>
          <w:i w:val="false"/>
          <w:color w:val="000000"/>
          <w:sz w:val="28"/>
        </w:rPr>
        <w:t>
      3. Ответственность в отношении уплаты таможенных пошлин, налогов, процентов за просрочку (пеней) переходит к гарантийному объединению другого государства – члена Таможенного союза в случае, если установлено, что нарушение Конвенции МДП, повлекшее возникновение обязанности по уплате таможенных пошлин, налогов, совершено на территории этого государства – члена Таможенного союза. Если не установлено, на территории какого государства – члена Таможенного союза совершено нарушение Конвенции МДП, то применяются положения пункта 2 статьи 6 настоящего Соглашения.</w:t>
      </w:r>
    </w:p>
    <w:bookmarkEnd w:id="24"/>
    <w:bookmarkStart w:name="z28" w:id="25"/>
    <w:p>
      <w:pPr>
        <w:spacing w:after="0"/>
        <w:ind w:left="0"/>
        <w:jc w:val="both"/>
      </w:pPr>
      <w:r>
        <w:rPr>
          <w:rFonts w:ascii="Times New Roman"/>
          <w:b w:val="false"/>
          <w:i w:val="false"/>
          <w:color w:val="000000"/>
          <w:sz w:val="28"/>
        </w:rPr>
        <w:t>
      4. Уведомление о незавершении (нарушении) операции МДП и требование об уплате сумм, указанных в статье 5 настоящего Соглашения, в соответствии со статьей 11 Конвенции МДП направляются гарантийному объединению таможенным органом государства – члена Таможенного союза, в котором оно учреждено.</w:t>
      </w:r>
    </w:p>
    <w:bookmarkEnd w:id="25"/>
    <w:bookmarkStart w:name="z29" w:id="26"/>
    <w:p>
      <w:pPr>
        <w:spacing w:after="0"/>
        <w:ind w:left="0"/>
        <w:jc w:val="both"/>
      </w:pPr>
      <w:r>
        <w:rPr>
          <w:rFonts w:ascii="Times New Roman"/>
          <w:b w:val="false"/>
          <w:i w:val="false"/>
          <w:color w:val="000000"/>
          <w:sz w:val="28"/>
        </w:rPr>
        <w:t>
      5. Направление уведомления о незавершении (нарушении) операции МДП таможенным органом одного из государств – членов Таможенного союза своему национальному гарантийному объединению считается одновременным уведомлением в соответствии с Конвенцией МДП всех гарантийных объединений государств – членов Таможенного союза.</w:t>
      </w:r>
    </w:p>
    <w:bookmarkEnd w:id="26"/>
    <w:bookmarkStart w:name="z30" w:id="27"/>
    <w:p>
      <w:pPr>
        <w:spacing w:after="0"/>
        <w:ind w:left="0"/>
        <w:jc w:val="left"/>
      </w:pPr>
      <w:r>
        <w:rPr>
          <w:rFonts w:ascii="Times New Roman"/>
          <w:b/>
          <w:i w:val="false"/>
          <w:color w:val="000000"/>
        </w:rPr>
        <w:t xml:space="preserve"> Статья 7</w:t>
      </w:r>
    </w:p>
    <w:bookmarkEnd w:id="27"/>
    <w:p>
      <w:pPr>
        <w:spacing w:after="0"/>
        <w:ind w:left="0"/>
        <w:jc w:val="both"/>
      </w:pPr>
      <w:r>
        <w:rPr>
          <w:rFonts w:ascii="Times New Roman"/>
          <w:b w:val="false"/>
          <w:i w:val="false"/>
          <w:color w:val="000000"/>
          <w:sz w:val="28"/>
        </w:rPr>
        <w:t>
      Порядок действий таможенных органов государств – членов Таможенного союза в случае поступления сведений (информации) о недоставке товаров, в том числе перевозимых с использованием книжки МДП, либо отсутствия сведений (информации) об их доставке определяется решением Комиссии Таможенного союза.</w:t>
      </w:r>
    </w:p>
    <w:bookmarkStart w:name="z31" w:id="28"/>
    <w:p>
      <w:pPr>
        <w:spacing w:after="0"/>
        <w:ind w:left="0"/>
        <w:jc w:val="left"/>
      </w:pPr>
      <w:r>
        <w:rPr>
          <w:rFonts w:ascii="Times New Roman"/>
          <w:b/>
          <w:i w:val="false"/>
          <w:color w:val="000000"/>
        </w:rPr>
        <w:t xml:space="preserve"> Статья 8</w:t>
      </w:r>
    </w:p>
    <w:bookmarkEnd w:id="28"/>
    <w:bookmarkStart w:name="z32" w:id="29"/>
    <w:p>
      <w:pPr>
        <w:spacing w:after="0"/>
        <w:ind w:left="0"/>
        <w:jc w:val="both"/>
      </w:pPr>
      <w:r>
        <w:rPr>
          <w:rFonts w:ascii="Times New Roman"/>
          <w:b w:val="false"/>
          <w:i w:val="false"/>
          <w:color w:val="000000"/>
          <w:sz w:val="28"/>
        </w:rPr>
        <w:t>
      1. Таможенные органы государства – члена Таможенного союза могут в соответствии с национальным законодательством принять решение о лишении держателя книжки МДП права пользования положениями Конвенции МДП на основании статьи 38 указанной Конвенции.</w:t>
      </w:r>
    </w:p>
    <w:bookmarkEnd w:id="29"/>
    <w:bookmarkStart w:name="z33" w:id="30"/>
    <w:p>
      <w:pPr>
        <w:spacing w:after="0"/>
        <w:ind w:left="0"/>
        <w:jc w:val="both"/>
      </w:pPr>
      <w:r>
        <w:rPr>
          <w:rFonts w:ascii="Times New Roman"/>
          <w:b w:val="false"/>
          <w:i w:val="false"/>
          <w:color w:val="000000"/>
          <w:sz w:val="28"/>
        </w:rPr>
        <w:t>
      2. Решение о лишении держателя книжки МДП права пользования положениями Конвенции МДП, принятое таможенным органом одного из государств – членов Таможенного союза, действует на всей территории Таможенного союза.</w:t>
      </w:r>
    </w:p>
    <w:bookmarkEnd w:id="30"/>
    <w:bookmarkStart w:name="z34" w:id="31"/>
    <w:p>
      <w:pPr>
        <w:spacing w:after="0"/>
        <w:ind w:left="0"/>
        <w:jc w:val="both"/>
      </w:pPr>
      <w:r>
        <w:rPr>
          <w:rFonts w:ascii="Times New Roman"/>
          <w:b w:val="false"/>
          <w:i w:val="false"/>
          <w:color w:val="000000"/>
          <w:sz w:val="28"/>
        </w:rPr>
        <w:t>
      3. Таможенные органы, принявшие решение о лишении держателя книжки МДП права пользования положениями Конвенции МДП, направляют информацию о таком решении и дате вступления его в силу лицам в соответствии с положениями Конвенции МДП с учетом примеров оптимальной практики применения Конвенции МДП, одобренных Административным комитетом Конвенции МДП, а также в таможенные органы государств – членов Таможенного союза.</w:t>
      </w:r>
    </w:p>
    <w:bookmarkEnd w:id="31"/>
    <w:bookmarkStart w:name="z35" w:id="32"/>
    <w:p>
      <w:pPr>
        <w:spacing w:after="0"/>
        <w:ind w:left="0"/>
        <w:jc w:val="both"/>
      </w:pPr>
      <w:r>
        <w:rPr>
          <w:rFonts w:ascii="Times New Roman"/>
          <w:b w:val="false"/>
          <w:i w:val="false"/>
          <w:color w:val="000000"/>
          <w:sz w:val="28"/>
        </w:rPr>
        <w:t>
      4. В целях минимизации рисков нарушений, связанных с операциями МДП, таможенные органы государств – членов Таможенного союза осуществляют автоматизированный обмен информацией о перевозчиках, лишенных права пользования положениями Конвенции МДП, путем использования информационных систем и информационных технологий.</w:t>
      </w:r>
    </w:p>
    <w:bookmarkEnd w:id="32"/>
    <w:bookmarkStart w:name="z36" w:id="33"/>
    <w:p>
      <w:pPr>
        <w:spacing w:after="0"/>
        <w:ind w:left="0"/>
        <w:jc w:val="left"/>
      </w:pPr>
      <w:r>
        <w:rPr>
          <w:rFonts w:ascii="Times New Roman"/>
          <w:b/>
          <w:i w:val="false"/>
          <w:color w:val="000000"/>
        </w:rPr>
        <w:t xml:space="preserve"> Статья 9</w:t>
      </w:r>
    </w:p>
    <w:bookmarkEnd w:id="33"/>
    <w:bookmarkStart w:name="z37" w:id="34"/>
    <w:p>
      <w:pPr>
        <w:spacing w:after="0"/>
        <w:ind w:left="0"/>
        <w:jc w:val="both"/>
      </w:pPr>
      <w:r>
        <w:rPr>
          <w:rFonts w:ascii="Times New Roman"/>
          <w:b w:val="false"/>
          <w:i w:val="false"/>
          <w:color w:val="000000"/>
          <w:sz w:val="28"/>
        </w:rPr>
        <w:t>
      1. Случаи применения сопровождения транспортных средств, перевозящих товары с использованием книжки МДП, определяются таможенными органами государств – членов Таможенного союза на основании положений Конвенции МДП, таможенного законодательства Таможенного союза и анализа рисков с учетом оценки, среди прочего, следующей информации:</w:t>
      </w:r>
    </w:p>
    <w:bookmarkEnd w:id="34"/>
    <w:p>
      <w:pPr>
        <w:spacing w:after="0"/>
        <w:ind w:left="0"/>
        <w:jc w:val="both"/>
      </w:pPr>
      <w:r>
        <w:rPr>
          <w:rFonts w:ascii="Times New Roman"/>
          <w:b w:val="false"/>
          <w:i w:val="false"/>
          <w:color w:val="000000"/>
          <w:sz w:val="28"/>
        </w:rPr>
        <w:t>
      информация о нарушениях таможенного законодательства, совершенных держателем книжки МДП, а также о предыдущих отзывах его разрешений или исключениях из процедуры МДП;</w:t>
      </w:r>
    </w:p>
    <w:p>
      <w:pPr>
        <w:spacing w:after="0"/>
        <w:ind w:left="0"/>
        <w:jc w:val="both"/>
      </w:pPr>
      <w:r>
        <w:rPr>
          <w:rFonts w:ascii="Times New Roman"/>
          <w:b w:val="false"/>
          <w:i w:val="false"/>
          <w:color w:val="000000"/>
          <w:sz w:val="28"/>
        </w:rPr>
        <w:t>
      информация о репутации перевозчика;</w:t>
      </w:r>
    </w:p>
    <w:p>
      <w:pPr>
        <w:spacing w:after="0"/>
        <w:ind w:left="0"/>
        <w:jc w:val="both"/>
      </w:pPr>
      <w:r>
        <w:rPr>
          <w:rFonts w:ascii="Times New Roman"/>
          <w:b w:val="false"/>
          <w:i w:val="false"/>
          <w:color w:val="000000"/>
          <w:sz w:val="28"/>
        </w:rPr>
        <w:t>
      информация о сумме ввозных таможенных пошлин и налогов, в отношении которых существует риск неуплаты;</w:t>
      </w:r>
    </w:p>
    <w:p>
      <w:pPr>
        <w:spacing w:after="0"/>
        <w:ind w:left="0"/>
        <w:jc w:val="both"/>
      </w:pPr>
      <w:r>
        <w:rPr>
          <w:rFonts w:ascii="Times New Roman"/>
          <w:b w:val="false"/>
          <w:i w:val="false"/>
          <w:color w:val="000000"/>
          <w:sz w:val="28"/>
        </w:rPr>
        <w:t>
      информация о происхождении товаров и маршруте их следования.</w:t>
      </w:r>
    </w:p>
    <w:bookmarkStart w:name="z38" w:id="35"/>
    <w:p>
      <w:pPr>
        <w:spacing w:after="0"/>
        <w:ind w:left="0"/>
        <w:jc w:val="both"/>
      </w:pPr>
      <w:r>
        <w:rPr>
          <w:rFonts w:ascii="Times New Roman"/>
          <w:b w:val="false"/>
          <w:i w:val="false"/>
          <w:color w:val="000000"/>
          <w:sz w:val="28"/>
        </w:rPr>
        <w:t>
      2. При принятии решения о сопровождении таможенный орган, в котором начинается операция МДП, при следовании товаров на или через таможенную территорию другого государства – члена Таможенного союза указывает в книжке МДП пункт, где будет осуществляться прием-передача сопровождаемых товаров. По просьбе перевозчика таможенный орган отправления указывает причину сопровождения в книжке МДП.</w:t>
      </w:r>
    </w:p>
    <w:bookmarkEnd w:id="35"/>
    <w:bookmarkStart w:name="z39" w:id="36"/>
    <w:p>
      <w:pPr>
        <w:spacing w:after="0"/>
        <w:ind w:left="0"/>
        <w:jc w:val="left"/>
      </w:pPr>
      <w:r>
        <w:rPr>
          <w:rFonts w:ascii="Times New Roman"/>
          <w:b/>
          <w:i w:val="false"/>
          <w:color w:val="000000"/>
        </w:rPr>
        <w:t xml:space="preserve"> Статья 10</w:t>
      </w:r>
    </w:p>
    <w:bookmarkEnd w:id="36"/>
    <w:p>
      <w:pPr>
        <w:spacing w:after="0"/>
        <w:ind w:left="0"/>
        <w:jc w:val="both"/>
      </w:pPr>
      <w:r>
        <w:rPr>
          <w:rFonts w:ascii="Times New Roman"/>
          <w:b w:val="false"/>
          <w:i w:val="false"/>
          <w:color w:val="000000"/>
          <w:sz w:val="28"/>
        </w:rPr>
        <w:t>
      Информационное взаимодействие таможенных органов государств – членов Таможенного союза по реализации настоящего Соглашения осуществляется в соответствии с таможенным законодательством Таможенного союза и законодательством государств – членов Таможенного союза.</w:t>
      </w:r>
    </w:p>
    <w:bookmarkStart w:name="z40" w:id="37"/>
    <w:p>
      <w:pPr>
        <w:spacing w:after="0"/>
        <w:ind w:left="0"/>
        <w:jc w:val="left"/>
      </w:pPr>
      <w:r>
        <w:rPr>
          <w:rFonts w:ascii="Times New Roman"/>
          <w:b/>
          <w:i w:val="false"/>
          <w:color w:val="000000"/>
        </w:rPr>
        <w:t xml:space="preserve"> Статья 11 Разрешение споров</w:t>
      </w:r>
    </w:p>
    <w:bookmarkEnd w:id="37"/>
    <w:bookmarkStart w:name="z41" w:id="38"/>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консультаций и переговоров.</w:t>
      </w:r>
    </w:p>
    <w:bookmarkEnd w:id="38"/>
    <w:bookmarkStart w:name="z42" w:id="39"/>
    <w:p>
      <w:pPr>
        <w:spacing w:after="0"/>
        <w:ind w:left="0"/>
        <w:jc w:val="both"/>
      </w:pP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39"/>
    <w:bookmarkStart w:name="z43" w:id="40"/>
    <w:p>
      <w:pPr>
        <w:spacing w:after="0"/>
        <w:ind w:left="0"/>
        <w:jc w:val="both"/>
      </w:pPr>
      <w:r>
        <w:rPr>
          <w:rFonts w:ascii="Times New Roman"/>
          <w:b w:val="false"/>
          <w:i w:val="false"/>
          <w:color w:val="000000"/>
          <w:sz w:val="28"/>
        </w:rPr>
        <w:t>
      3. Комиссия Таможенного союза оказывает содействие Сторонам вурегулировании спора до его передачи для рассмотрения в Суд Евразийского экономического сообщества.</w:t>
      </w:r>
    </w:p>
    <w:bookmarkEnd w:id="40"/>
    <w:bookmarkStart w:name="z44" w:id="41"/>
    <w:p>
      <w:pPr>
        <w:spacing w:after="0"/>
        <w:ind w:left="0"/>
        <w:jc w:val="left"/>
      </w:pPr>
      <w:r>
        <w:rPr>
          <w:rFonts w:ascii="Times New Roman"/>
          <w:b/>
          <w:i w:val="false"/>
          <w:color w:val="000000"/>
        </w:rPr>
        <w:t xml:space="preserve"> Статья 12 Внесение изменений</w:t>
      </w:r>
    </w:p>
    <w:bookmarkEnd w:id="41"/>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w:t>
      </w:r>
    </w:p>
    <w:bookmarkStart w:name="z45" w:id="42"/>
    <w:p>
      <w:pPr>
        <w:spacing w:after="0"/>
        <w:ind w:left="0"/>
        <w:jc w:val="left"/>
      </w:pPr>
      <w:r>
        <w:rPr>
          <w:rFonts w:ascii="Times New Roman"/>
          <w:b/>
          <w:i w:val="false"/>
          <w:color w:val="000000"/>
        </w:rPr>
        <w:t xml:space="preserve"> Статья 13 Заключительные положения</w:t>
      </w:r>
    </w:p>
    <w:bookmarkEnd w:id="42"/>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 даты подписания.</w:t>
      </w:r>
    </w:p>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p>
    <w:p>
      <w:pPr>
        <w:spacing w:after="0"/>
        <w:ind w:left="0"/>
        <w:jc w:val="both"/>
      </w:pPr>
      <w:r>
        <w:rPr>
          <w:rFonts w:ascii="Times New Roman"/>
          <w:b w:val="false"/>
          <w:i w:val="false"/>
          <w:color w:val="000000"/>
          <w:sz w:val="28"/>
        </w:rPr>
        <w:t>
      Совершено в городе ________________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его заверенную копию.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