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c631c" w14:textId="e5c6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подметально-уборочной машины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16 августа 2011 года № 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тексту слова «8705 90 900 1 ТН ВЭД ТС» заменены словами «8705 90 800 5 единой Товарной номенклатуры внешнеэкономической деятельности Евразийского экономического союза», слова «интерпретации ТН ВЭД ТС» заменены словами «интерпретации Товарной номенклатуры внешнеэкономической деятельности» в соответствии решения Коллегии Евразийской экономической комиссии от 21.11.2016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Подметально-уборочную машину, с момента выпуска которой прошло не более 3-х лет, представляющую собой четырехколесное транспортное средство специальной конструкции, состоящее из двигателя, коробки передач и органов управления переключением передач, рулевых и тормозных устройств, и предназначенную для общественных работ по уборке городских дорог и улиц, автострад с увлажнением подметаемой поверхности и поглощением пыли, с транспортированием смета в бункер для мусора и его механизированной разгрузки, классифицировать в подсубпозиции 8705 90 800 5 единой Товарной номенклатуры внешнеэкономической деятельности Евразийского экономического союза в соответствии с Основными правилами интерпретации Товарной номенклатуры внешнеэкономической деятельности 1 и 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 Республики      От Республики      От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