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ed2a" w14:textId="798e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Таможенного союза и в Единый таможенный тариф Таможенного союза в отношении фольги алюминиевой толщиной менее 0,021 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16 августа 2011 года № 765. Утратило силу решением Комиссии таможенного союза от 9 декабря 2011 года № 859</w:t>
      </w:r>
    </w:p>
    <w:p>
      <w:pPr>
        <w:spacing w:after="0"/>
        <w:ind w:left="0"/>
        <w:jc w:val="both"/>
      </w:pPr>
      <w:bookmarkStart w:name="z1" w:id="0"/>
      <w:r>
        <w:rPr>
          <w:rFonts w:ascii="Times New Roman"/>
          <w:b w:val="false"/>
          <w:i w:val="false"/>
          <w:color w:val="ff0000"/>
          <w:sz w:val="28"/>
        </w:rPr>
        <w:t xml:space="preserve">
      Сноска. Утратило силу решением Комиссии таможенного союза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w:t>
      </w:r>
    </w:p>
    <w:bookmarkEnd w:id="0"/>
    <w:bookmarkStart w:name="z2" w:id="1"/>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1. Внести в единую Товарную номенклатуру внешнеэкономической деятельности Таможенного союза и в Единый таможенный тариф Таможенного союза (</w:t>
      </w:r>
      <w:r>
        <w:rPr>
          <w:rFonts w:ascii="Times New Roman"/>
          <w:b w:val="false"/>
          <w:i w:val="false"/>
          <w:color w:val="000000"/>
          <w:sz w:val="28"/>
        </w:rPr>
        <w:t>приложение № 1</w:t>
      </w:r>
      <w:r>
        <w:rPr>
          <w:rFonts w:ascii="Times New Roman"/>
          <w:b w:val="false"/>
          <w:i w:val="false"/>
          <w:color w:val="000000"/>
          <w:sz w:val="28"/>
        </w:rPr>
        <w:t xml:space="preserve"> к Решению Комиссии Таможенного союза от 27 ноября 2009 г. № 130) следующие изменения:</w:t>
      </w:r>
      <w:r>
        <w:br/>
      </w:r>
      <w:r>
        <w:rPr>
          <w:rFonts w:ascii="Times New Roman"/>
          <w:b w:val="false"/>
          <w:i w:val="false"/>
          <w:color w:val="000000"/>
          <w:sz w:val="28"/>
        </w:rPr>
        <w:t>
</w:t>
      </w:r>
      <w:r>
        <w:rPr>
          <w:rFonts w:ascii="Times New Roman"/>
          <w:b w:val="false"/>
          <w:i w:val="false"/>
          <w:color w:val="000000"/>
          <w:sz w:val="28"/>
        </w:rPr>
        <w:t>
      а) исключить из единой Товарной номенклатуры внешнеэкономической деятельности Таможенного союза подсубпозицию согласно </w:t>
      </w:r>
      <w:r>
        <w:rPr>
          <w:rFonts w:ascii="Times New Roman"/>
          <w:b w:val="false"/>
          <w:i w:val="false"/>
          <w:color w:val="000000"/>
          <w:sz w:val="28"/>
        </w:rPr>
        <w:t>приложению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 включить в единую Товарную номенклатуру внешнеэкономической деятельности Таможенного союза подсубпозиции согласно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установить ставки ввозных таможенных пошлин Единого таможенного тарифа Таможенного союза согласно </w:t>
      </w:r>
      <w:r>
        <w:rPr>
          <w:rFonts w:ascii="Times New Roman"/>
          <w:b w:val="false"/>
          <w:i w:val="false"/>
          <w:color w:val="000000"/>
          <w:sz w:val="28"/>
        </w:rPr>
        <w:t>приложению №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До внесения соответствующих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 утвержденный Решением Межгосударственного Совета ЕврАзЭС (Высшего органа Таможенного союза) от 27 ноября 2009 года № 18, Решения Комиссии Таможенного союза по изменению ставок ввозных таможенных пошлин в отношении товаров, указанных в приложении № 3 к настоящему Решению, принимаются консенсусом.</w:t>
      </w:r>
      <w:r>
        <w:br/>
      </w:r>
      <w:r>
        <w:rPr>
          <w:rFonts w:ascii="Times New Roman"/>
          <w:b w:val="false"/>
          <w:i w:val="false"/>
          <w:color w:val="000000"/>
          <w:sz w:val="28"/>
        </w:rPr>
        <w:t>
</w:t>
      </w:r>
      <w:r>
        <w:rPr>
          <w:rFonts w:ascii="Times New Roman"/>
          <w:b w:val="false"/>
          <w:i w:val="false"/>
          <w:color w:val="000000"/>
          <w:sz w:val="28"/>
        </w:rPr>
        <w:t>
      До внесения соответствующих изменений в Перечень товаров и ставок переходного периода, в отношении которых в течение переходного периода одним из государств-членов Таможенного союза применяются ставки ввозных таможенных пошлин, отличные от ставок Единого таможенного тарифа Таможенного союза (утвержден Решением Межгоссовета ЕврАзЭС (Высшего органа Таможенного союза) на уровне глав государств от 27 ноября 2009 г. № 18), в отношении товаров, указанных в приложении № 3 к настоящему Решению, Республикой Казахстан применяются ставки ввозных таможенных пошлин, установленные в Перечне товаров и ставок переходного периода, в отношении товаров подсубпозиции 7607 11 100 0 ТН ВЭД ТС.</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 1 сентября 2011 года.</w:t>
      </w:r>
    </w:p>
    <w:bookmarkEnd w:id="1"/>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4413"/>
        <w:gridCol w:w="405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9" w:id="2"/>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Решению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16 августа 2011 г. № 765</w:t>
      </w:r>
    </w:p>
    <w:bookmarkEnd w:id="2"/>
    <w:bookmarkStart w:name="z10" w:id="3"/>
    <w:p>
      <w:pPr>
        <w:spacing w:after="0"/>
        <w:ind w:left="0"/>
        <w:jc w:val="left"/>
      </w:pPr>
      <w:r>
        <w:rPr>
          <w:rFonts w:ascii="Times New Roman"/>
          <w:b/>
          <w:i w:val="false"/>
          <w:color w:val="000000"/>
        </w:rPr>
        <w:t xml:space="preserve"> 
ПОДСУБПОЗИЦИИ,</w:t>
      </w:r>
      <w:r>
        <w:br/>
      </w:r>
      <w:r>
        <w:rPr>
          <w:rFonts w:ascii="Times New Roman"/>
          <w:b/>
          <w:i w:val="false"/>
          <w:color w:val="000000"/>
        </w:rPr>
        <w:t>
исключаемые из единой Товарной номенклатуры</w:t>
      </w:r>
      <w:r>
        <w:br/>
      </w:r>
      <w:r>
        <w:rPr>
          <w:rFonts w:ascii="Times New Roman"/>
          <w:b/>
          <w:i w:val="false"/>
          <w:color w:val="000000"/>
        </w:rPr>
        <w:t>
внешнеэкономической деятельности Таможенного союза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7384"/>
        <w:gridCol w:w="3186"/>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7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 ед. изм.</w:t>
            </w:r>
          </w:p>
        </w:tc>
      </w:tr>
    </w:tbl>
    <w:p>
      <w:pPr>
        <w:spacing w:after="0"/>
        <w:ind w:left="0"/>
        <w:jc w:val="both"/>
      </w:pPr>
      <w:r>
        <w:rPr>
          <w:rFonts w:ascii="Times New Roman"/>
          <w:b w:val="false"/>
          <w:i w:val="false"/>
          <w:color w:val="000000"/>
          <w:sz w:val="28"/>
        </w:rPr>
        <w:t>      7607 11 100 0 – – – толщиной менее 0,021 мм                 -</w:t>
      </w:r>
    </w:p>
    <w:bookmarkStart w:name="z11" w:id="4"/>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Решению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16 августа 2011 г. № 765</w:t>
      </w:r>
    </w:p>
    <w:bookmarkEnd w:id="4"/>
    <w:bookmarkStart w:name="z12" w:id="5"/>
    <w:p>
      <w:pPr>
        <w:spacing w:after="0"/>
        <w:ind w:left="0"/>
        <w:jc w:val="left"/>
      </w:pPr>
      <w:r>
        <w:rPr>
          <w:rFonts w:ascii="Times New Roman"/>
          <w:b/>
          <w:i w:val="false"/>
          <w:color w:val="000000"/>
        </w:rPr>
        <w:t xml:space="preserve"> 
ПОДСУБПОЗИЦИИ,</w:t>
      </w:r>
      <w:r>
        <w:br/>
      </w:r>
      <w:r>
        <w:rPr>
          <w:rFonts w:ascii="Times New Roman"/>
          <w:b/>
          <w:i w:val="false"/>
          <w:color w:val="000000"/>
        </w:rPr>
        <w:t>
включаемые в единую Товарную номенклатуру</w:t>
      </w:r>
      <w:r>
        <w:br/>
      </w:r>
      <w:r>
        <w:rPr>
          <w:rFonts w:ascii="Times New Roman"/>
          <w:b/>
          <w:i w:val="false"/>
          <w:color w:val="000000"/>
        </w:rPr>
        <w:t>
внешнеэкономической деятельности Таможенного союза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7626"/>
        <w:gridCol w:w="2940"/>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 ед. изм.</w:t>
            </w:r>
          </w:p>
        </w:tc>
      </w:tr>
    </w:tbl>
    <w:p>
      <w:pPr>
        <w:spacing w:after="0"/>
        <w:ind w:left="0"/>
        <w:jc w:val="both"/>
      </w:pPr>
      <w:r>
        <w:rPr>
          <w:rFonts w:ascii="Times New Roman"/>
          <w:b w:val="false"/>
          <w:i w:val="false"/>
          <w:color w:val="000000"/>
          <w:sz w:val="28"/>
        </w:rPr>
        <w:t>      7607 11 100   – – – толщиной менее 0,021 мм                  -</w:t>
      </w:r>
    </w:p>
    <w:p>
      <w:pPr>
        <w:spacing w:after="0"/>
        <w:ind w:left="0"/>
        <w:jc w:val="both"/>
      </w:pPr>
      <w:r>
        <w:rPr>
          <w:rFonts w:ascii="Times New Roman"/>
          <w:b w:val="false"/>
          <w:i w:val="false"/>
          <w:color w:val="000000"/>
          <w:sz w:val="28"/>
        </w:rPr>
        <w:t>      7607 11 100 1 – – – толщиной менее 0,0046 мм                 -</w:t>
      </w:r>
    </w:p>
    <w:p>
      <w:pPr>
        <w:spacing w:after="0"/>
        <w:ind w:left="0"/>
        <w:jc w:val="both"/>
      </w:pPr>
      <w:r>
        <w:rPr>
          <w:rFonts w:ascii="Times New Roman"/>
          <w:b w:val="false"/>
          <w:i w:val="false"/>
          <w:color w:val="000000"/>
          <w:sz w:val="28"/>
        </w:rPr>
        <w:t>      7607 11 100 9 – – – толщиной менее 0,0046 мм,                -</w:t>
      </w:r>
      <w:r>
        <w:br/>
      </w:r>
      <w:r>
        <w:rPr>
          <w:rFonts w:ascii="Times New Roman"/>
          <w:b w:val="false"/>
          <w:i w:val="false"/>
          <w:color w:val="000000"/>
          <w:sz w:val="28"/>
        </w:rPr>
        <w:t>
                          но менее 0,021 мм</w:t>
      </w:r>
    </w:p>
    <w:bookmarkStart w:name="z13" w:id="6"/>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Решению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16 августа 2011 г. № 765</w:t>
      </w:r>
    </w:p>
    <w:bookmarkEnd w:id="6"/>
    <w:bookmarkStart w:name="z14" w:id="7"/>
    <w:p>
      <w:pPr>
        <w:spacing w:after="0"/>
        <w:ind w:left="0"/>
        <w:jc w:val="left"/>
      </w:pPr>
      <w:r>
        <w:rPr>
          <w:rFonts w:ascii="Times New Roman"/>
          <w:b/>
          <w:i w:val="false"/>
          <w:color w:val="000000"/>
        </w:rPr>
        <w:t xml:space="preserve"> 
С Т А В К И</w:t>
      </w:r>
      <w:r>
        <w:br/>
      </w:r>
      <w:r>
        <w:rPr>
          <w:rFonts w:ascii="Times New Roman"/>
          <w:b/>
          <w:i w:val="false"/>
          <w:color w:val="000000"/>
        </w:rPr>
        <w:t>
ввозных таможенных пошлин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6386"/>
        <w:gridCol w:w="4177"/>
      </w:tblGrid>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ТН ВЭД</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ввозной</w:t>
            </w:r>
            <w:r>
              <w:br/>
            </w:r>
            <w:r>
              <w:rPr>
                <w:rFonts w:ascii="Times New Roman"/>
                <w:b w:val="false"/>
                <w:i w:val="false"/>
                <w:color w:val="000000"/>
                <w:sz w:val="20"/>
              </w:rPr>
              <w:t>
таможенной</w:t>
            </w:r>
            <w:r>
              <w:br/>
            </w:r>
            <w:r>
              <w:rPr>
                <w:rFonts w:ascii="Times New Roman"/>
                <w:b w:val="false"/>
                <w:i w:val="false"/>
                <w:color w:val="000000"/>
                <w:sz w:val="20"/>
              </w:rPr>
              <w:t>
пошлины (в процентах</w:t>
            </w:r>
            <w:r>
              <w:br/>
            </w:r>
            <w:r>
              <w:rPr>
                <w:rFonts w:ascii="Times New Roman"/>
                <w:b w:val="false"/>
                <w:i w:val="false"/>
                <w:color w:val="000000"/>
                <w:sz w:val="20"/>
              </w:rPr>
              <w:t>
от таможенной</w:t>
            </w:r>
            <w:r>
              <w:br/>
            </w:r>
            <w:r>
              <w:rPr>
                <w:rFonts w:ascii="Times New Roman"/>
                <w:b w:val="false"/>
                <w:i w:val="false"/>
                <w:color w:val="000000"/>
                <w:sz w:val="20"/>
              </w:rPr>
              <w:t>
стоимости либо</w:t>
            </w:r>
            <w:r>
              <w:br/>
            </w:r>
            <w:r>
              <w:rPr>
                <w:rFonts w:ascii="Times New Roman"/>
                <w:b w:val="false"/>
                <w:i w:val="false"/>
                <w:color w:val="000000"/>
                <w:sz w:val="20"/>
              </w:rPr>
              <w:t>
в евро, либо в</w:t>
            </w:r>
            <w:r>
              <w:br/>
            </w:r>
            <w:r>
              <w:rPr>
                <w:rFonts w:ascii="Times New Roman"/>
                <w:b w:val="false"/>
                <w:i w:val="false"/>
                <w:color w:val="000000"/>
                <w:sz w:val="20"/>
              </w:rPr>
              <w:t>
долларах США)</w:t>
            </w:r>
          </w:p>
        </w:tc>
      </w:tr>
    </w:tbl>
    <w:p>
      <w:pPr>
        <w:spacing w:after="0"/>
        <w:ind w:left="0"/>
        <w:jc w:val="both"/>
      </w:pPr>
      <w:r>
        <w:rPr>
          <w:rFonts w:ascii="Times New Roman"/>
          <w:b w:val="false"/>
          <w:i w:val="false"/>
          <w:color w:val="000000"/>
          <w:sz w:val="28"/>
        </w:rPr>
        <w:t>      7607 11 100 1 - - - - толщиной менее 0,0046 мм               0</w:t>
      </w:r>
    </w:p>
    <w:p>
      <w:pPr>
        <w:spacing w:after="0"/>
        <w:ind w:left="0"/>
        <w:jc w:val="both"/>
      </w:pPr>
      <w:r>
        <w:rPr>
          <w:rFonts w:ascii="Times New Roman"/>
          <w:b w:val="false"/>
          <w:i w:val="false"/>
          <w:color w:val="000000"/>
          <w:sz w:val="28"/>
        </w:rPr>
        <w:t>      7607 11 100 9 – – – - толщиной менее 0,0046 мм,              -</w:t>
      </w:r>
      <w:r>
        <w:br/>
      </w:r>
      <w:r>
        <w:rPr>
          <w:rFonts w:ascii="Times New Roman"/>
          <w:b w:val="false"/>
          <w:i w:val="false"/>
          <w:color w:val="000000"/>
          <w:sz w:val="28"/>
        </w:rPr>
        <w:t>
                            но менее 0,021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