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23e6" w14:textId="3462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-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– членов Таможенного союза,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тарифные квоты применяются в отношении ввозимых на таможенную территорию Таможенного союза товаров, помещаемых под таможенную процедуру выпуска для внутреннего потребления, за исключением товаров, происходящих и ввозимых из государств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распределить, в случае необходимости, объемы тарифных квот между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в 2012 году распределение объемов тарифных квот между участниками внешнеторговой деятельности в соответствии с законодательством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членов Таможенного союза; - поручить уполномоченным органам государственной власти государств – членов Таможенного союза осуществлять выдачу лицензий на ввоз товаров, в отношении которых установлены тарифные квоты, с предоставлением информации о выданных лицензиях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4614"/>
        <w:gridCol w:w="3606"/>
      </w:tblGrid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г. № 865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с 1 января 2012 года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
тарифные квоты, о также объемы тарифных квот</w:t>
      </w:r>
      <w:r>
        <w:br/>
      </w:r>
      <w:r>
        <w:rPr>
          <w:rFonts w:ascii="Times New Roman"/>
          <w:b/>
          <w:i w:val="false"/>
          <w:color w:val="000000"/>
        </w:rPr>
        <w:t>
для ввоза этих товаров на территорию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Перечень с изменениями, внесенными решением Коллегии Евразийской экономической комиссии от 13.11.2012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2373"/>
        <w:gridCol w:w="2733"/>
        <w:gridCol w:w="2753"/>
      </w:tblGrid>
      <w:tr>
        <w:trPr>
          <w:trHeight w:val="3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тарифных квот на 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 или охлажденное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ТН ВЭД ТС)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 (код 0202 ТН ВЭД ТС)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замороженная (код 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Свиной тримминг (код 0203 29 550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29 900 2 ТН ВЭД ТС)*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птицы, указанной 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0105, свежие, охлажденные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замороженные (код 0207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ТС) – всего 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330,0**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домашних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1 ТН ВЭД ТС)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половины или четвертины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тушек кур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ножки кур домашних и куски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(коды 0207 14 200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0207 14 600 1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индеек (код 0207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птицы,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товарной позиции 0105, свежие, охлажденные или замороженные,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(код 0207 ТН ВЭД ТС, кроме кодов 0207 14 100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14 200 1, 0207 14 600 1, 0207 27 100 1 ТН ВЭД ТС)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Свиной тримминг может ввозиться как в рамках тарифной квоты, установленной в отношении свиного тримминга, так и в рамках тарифной квоты, установленной в отношении свинины.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Данный объем распределяется в отношении ввоза отдельных видов мяса и пищевых субпродуктов домашней птицы на территорию Российской Федерации в соответствии с товарной структурой и в пределах объемов, указанных в настоящем Перечне.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