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1d72" w14:textId="4561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10 мая 2012 года № 41</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Принять к сведению информацию о завершении Сторонами внутригосударственного согласования проекта Соглашения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 (далее – проект Соглашения,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Направить Сторонам проект Соглашения для проведения внутригосударственных процедур, необходимых для его подписания.</w:t>
      </w:r>
      <w:r>
        <w:br/>
      </w:r>
      <w:r>
        <w:rPr>
          <w:rFonts w:ascii="Times New Roman"/>
          <w:b w:val="false"/>
          <w:i w:val="false"/>
          <w:color w:val="000000"/>
          <w:sz w:val="28"/>
        </w:rPr>
        <w:t>
</w:t>
      </w:r>
      <w:r>
        <w:rPr>
          <w:rFonts w:ascii="Times New Roman"/>
          <w:b w:val="false"/>
          <w:i w:val="false"/>
          <w:color w:val="000000"/>
          <w:sz w:val="28"/>
        </w:rPr>
        <w:t>
      3. Просить Стороны при проведении внутригосударственных процедур по проекту Соглашения учесть предложения, внесенные Евразийской экономической комиссией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тридцати дней после дня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bookmarkStart w:name="z6" w:id="1"/>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10 мая 2012 г. № 41      </w:t>
      </w:r>
    </w:p>
    <w:bookmarkEnd w:id="1"/>
    <w:bookmarkStart w:name="z7" w:id="2"/>
    <w:p>
      <w:pPr>
        <w:spacing w:after="0"/>
        <w:ind w:left="0"/>
        <w:jc w:val="both"/>
      </w:pPr>
      <w:r>
        <w:rPr>
          <w:rFonts w:ascii="Times New Roman"/>
          <w:b w:val="false"/>
          <w:i w:val="false"/>
          <w:color w:val="000000"/>
          <w:sz w:val="28"/>
        </w:rPr>
        <w:t xml:space="preserve">
Проект            </w:t>
      </w:r>
    </w:p>
    <w:bookmarkEnd w:id="2"/>
    <w:bookmarkStart w:name="z8" w:id="3"/>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перемещения продукции военного назначения между</w:t>
      </w:r>
      <w:r>
        <w:br/>
      </w:r>
      <w:r>
        <w:rPr>
          <w:rFonts w:ascii="Times New Roman"/>
          <w:b/>
          <w:i w:val="false"/>
          <w:color w:val="000000"/>
        </w:rPr>
        <w:t>
государствами – членами Таможенного союза, а также через</w:t>
      </w:r>
      <w:r>
        <w:br/>
      </w:r>
      <w:r>
        <w:rPr>
          <w:rFonts w:ascii="Times New Roman"/>
          <w:b/>
          <w:i w:val="false"/>
          <w:color w:val="000000"/>
        </w:rPr>
        <w:t>
таможенную границу Таможенного союза</w:t>
      </w:r>
    </w:p>
    <w:bookmarkEnd w:id="3"/>
    <w:bookmarkStart w:name="z9" w:id="4"/>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и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w:t>
      </w:r>
      <w:r>
        <w:rPr>
          <w:rFonts w:ascii="Times New Roman"/>
          <w:b w:val="false"/>
          <w:i w:val="false"/>
          <w:color w:val="000000"/>
          <w:sz w:val="28"/>
        </w:rPr>
        <w:t>
      стремясь создать благоприятные условия для эффективного функционирования единой таможенной территории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желая содействовать развитию сбалансированных, взаимовыгодных торговых и научно-технических связей друг с другом и с третьими государствами в области военно-технического сотрудничества,</w:t>
      </w:r>
      <w:r>
        <w:br/>
      </w:r>
      <w:r>
        <w:rPr>
          <w:rFonts w:ascii="Times New Roman"/>
          <w:b w:val="false"/>
          <w:i w:val="false"/>
          <w:color w:val="000000"/>
          <w:sz w:val="28"/>
        </w:rPr>
        <w:t>
</w:t>
      </w:r>
      <w:r>
        <w:rPr>
          <w:rFonts w:ascii="Times New Roman"/>
          <w:b w:val="false"/>
          <w:i w:val="false"/>
          <w:color w:val="000000"/>
          <w:sz w:val="28"/>
        </w:rPr>
        <w:t>
      исходя из необходимости обеспечения защиты национальных интересов и безопасности своих государств,</w:t>
      </w:r>
      <w:r>
        <w:br/>
      </w:r>
      <w:r>
        <w:rPr>
          <w:rFonts w:ascii="Times New Roman"/>
          <w:b w:val="false"/>
          <w:i w:val="false"/>
          <w:color w:val="000000"/>
          <w:sz w:val="28"/>
        </w:rPr>
        <w:t>
</w:t>
      </w:r>
      <w:r>
        <w:rPr>
          <w:rFonts w:ascii="Times New Roman"/>
          <w:b w:val="false"/>
          <w:i w:val="false"/>
          <w:color w:val="000000"/>
          <w:sz w:val="28"/>
        </w:rPr>
        <w:t>
      согласились с нижеследующим:</w:t>
      </w:r>
    </w:p>
    <w:bookmarkEnd w:id="4"/>
    <w:bookmarkStart w:name="z15" w:id="5"/>
    <w:p>
      <w:pPr>
        <w:spacing w:after="0"/>
        <w:ind w:left="0"/>
        <w:jc w:val="left"/>
      </w:pPr>
      <w:r>
        <w:rPr>
          <w:rFonts w:ascii="Times New Roman"/>
          <w:b/>
          <w:i w:val="false"/>
          <w:color w:val="000000"/>
        </w:rPr>
        <w:t xml:space="preserve"> 
Статья 1</w:t>
      </w:r>
    </w:p>
    <w:bookmarkEnd w:id="5"/>
    <w:bookmarkStart w:name="z16" w:id="6"/>
    <w:p>
      <w:pPr>
        <w:spacing w:after="0"/>
        <w:ind w:left="0"/>
        <w:jc w:val="both"/>
      </w:pPr>
      <w:r>
        <w:rPr>
          <w:rFonts w:ascii="Times New Roman"/>
          <w:b w:val="false"/>
          <w:i w:val="false"/>
          <w:color w:val="000000"/>
          <w:sz w:val="28"/>
        </w:rPr>
        <w:t>
      Для целей настоящего Соглашения применяются следующие основные термины и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ввоз</w:t>
      </w:r>
      <w:r>
        <w:rPr>
          <w:rFonts w:ascii="Times New Roman"/>
          <w:b w:val="false"/>
          <w:i w:val="false"/>
          <w:color w:val="000000"/>
          <w:sz w:val="28"/>
        </w:rPr>
        <w:t xml:space="preserve"> – фактическое перемещение продукции военного назначения на территорию государства – члена Таможенного союза из третьих стран, в том числе через территорию других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внутреннее перемещение</w:t>
      </w:r>
      <w:r>
        <w:rPr>
          <w:rFonts w:ascii="Times New Roman"/>
          <w:b w:val="false"/>
          <w:i w:val="false"/>
          <w:color w:val="000000"/>
          <w:sz w:val="28"/>
        </w:rPr>
        <w:t xml:space="preserve"> – фактическое перемещение продукции военного назначения с территории одного государства – члена Таможенного союза на территорию другого государства – члена Таможенного союза, в том числе через территорию других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вывоз</w:t>
      </w:r>
      <w:r>
        <w:rPr>
          <w:rFonts w:ascii="Times New Roman"/>
          <w:b w:val="false"/>
          <w:i w:val="false"/>
          <w:color w:val="000000"/>
          <w:sz w:val="28"/>
        </w:rPr>
        <w:t xml:space="preserve"> – фактическое перемещение продукции военного назначения c территории государства – члена Таможенного союза в третьи страны, в том числе через территорию других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Единый список продукции военного назначения</w:t>
      </w:r>
      <w:r>
        <w:rPr>
          <w:rFonts w:ascii="Times New Roman"/>
          <w:b w:val="false"/>
          <w:i w:val="false"/>
          <w:color w:val="000000"/>
          <w:sz w:val="28"/>
        </w:rPr>
        <w:t xml:space="preserve"> – единый для государств – членов Таможенного союза перечень продукции, относящейся к продукции военного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идентификационное заключение</w:t>
      </w:r>
      <w:r>
        <w:rPr>
          <w:rFonts w:ascii="Times New Roman"/>
          <w:b w:val="false"/>
          <w:i w:val="false"/>
          <w:color w:val="000000"/>
          <w:sz w:val="28"/>
        </w:rPr>
        <w:t xml:space="preserve"> –документ, выдаваемый физическому или юридическому лицу по результатам идентификации;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идентификация</w:t>
      </w:r>
      <w:r>
        <w:rPr>
          <w:rFonts w:ascii="Times New Roman"/>
          <w:b w:val="false"/>
          <w:i w:val="false"/>
          <w:color w:val="000000"/>
          <w:sz w:val="28"/>
        </w:rPr>
        <w:t xml:space="preserve"> – установление принадлежности (непринадлежности) продукции к продукции военного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продукция военного назначения</w:t>
      </w:r>
      <w:r>
        <w:rPr>
          <w:rFonts w:ascii="Times New Roman"/>
          <w:b w:val="false"/>
          <w:i w:val="false"/>
          <w:color w:val="000000"/>
          <w:sz w:val="28"/>
        </w:rPr>
        <w:t xml:space="preserve"> – вооружение, военная техника, документация, работы и услуги военного назначения, результаты интеллектуальной деятельности, в том числе исключительные права на них (интеллектуальная собственность), и научно-техническая информация в военной области, а также любая другая продукция, включенные в Единый список продукции военного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разрешение</w:t>
      </w:r>
      <w:r>
        <w:rPr>
          <w:rFonts w:ascii="Times New Roman"/>
          <w:b w:val="false"/>
          <w:i w:val="false"/>
          <w:color w:val="000000"/>
          <w:sz w:val="28"/>
        </w:rPr>
        <w:t xml:space="preserve"> – документ, предоставляющий право на осуществление ввоза, вывоза, внутреннего перемещения, транзита продукции военного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транзит</w:t>
      </w:r>
      <w:r>
        <w:rPr>
          <w:rFonts w:ascii="Times New Roman"/>
          <w:b w:val="false"/>
          <w:i w:val="false"/>
          <w:color w:val="000000"/>
          <w:sz w:val="28"/>
        </w:rPr>
        <w:t xml:space="preserve"> – перемещение через территорию государств – членов Таможенного союза продукции военного назначения, в том числе водным транспортом и воздушным транспортом с посадкой на территории государств – членов Таможенного союза, начинающееся и заканчивающееся за пределами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уполномоченные органы</w:t>
      </w:r>
      <w:r>
        <w:rPr>
          <w:rFonts w:ascii="Times New Roman"/>
          <w:b w:val="false"/>
          <w:i w:val="false"/>
          <w:color w:val="000000"/>
          <w:sz w:val="28"/>
        </w:rPr>
        <w:t xml:space="preserve"> – государственные органы государств – членов Таможенного союза, уполномоченные выдавать разрешения на ввоз, вывоз, внутреннее перемещение, транзит продукции военного назначения, согласовывать перемещение продукции военного назначения, а также выдавать идентификационное заключение;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участник внешнеэкономической деятельности</w:t>
      </w:r>
      <w:r>
        <w:rPr>
          <w:rFonts w:ascii="Times New Roman"/>
          <w:b w:val="false"/>
          <w:i w:val="false"/>
          <w:color w:val="000000"/>
          <w:sz w:val="28"/>
        </w:rPr>
        <w:t xml:space="preserve"> – государственные органы, юридические и физические лица Сторон, осуществляющие в соответствии с законодательством своей Стороны внешнеэкономическую деятельность с продукцией военного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экспортный контроль</w:t>
      </w:r>
      <w:r>
        <w:rPr>
          <w:rFonts w:ascii="Times New Roman"/>
          <w:b w:val="false"/>
          <w:i w:val="false"/>
          <w:color w:val="000000"/>
          <w:sz w:val="28"/>
        </w:rPr>
        <w:t xml:space="preserve"> – комплекс мер, обеспечивающих выполнение установленного настоящим Соглашением, решениями органов Таможенного союза и законодательством Сторон порядка ввоза, вывоза, внутреннего перемещения, транзита продукции военного назначения.</w:t>
      </w:r>
    </w:p>
    <w:bookmarkEnd w:id="6"/>
    <w:bookmarkStart w:name="z29" w:id="7"/>
    <w:p>
      <w:pPr>
        <w:spacing w:after="0"/>
        <w:ind w:left="0"/>
        <w:jc w:val="left"/>
      </w:pPr>
      <w:r>
        <w:rPr>
          <w:rFonts w:ascii="Times New Roman"/>
          <w:b/>
          <w:i w:val="false"/>
          <w:color w:val="000000"/>
        </w:rPr>
        <w:t xml:space="preserve"> 
Статья 2</w:t>
      </w:r>
    </w:p>
    <w:bookmarkEnd w:id="7"/>
    <w:bookmarkStart w:name="z30" w:id="8"/>
    <w:p>
      <w:pPr>
        <w:spacing w:after="0"/>
        <w:ind w:left="0"/>
        <w:jc w:val="both"/>
      </w:pPr>
      <w:r>
        <w:rPr>
          <w:rFonts w:ascii="Times New Roman"/>
          <w:b w:val="false"/>
          <w:i w:val="false"/>
          <w:color w:val="000000"/>
          <w:sz w:val="28"/>
        </w:rPr>
        <w:t>
      Стороны устанавливают единый порядок перемещения продукции военного назначения между государствами – членами Таможенного союза, а также через таможенную границу Таможенного союза и обеспечивают его реализацию в соответствии с настоящим Соглашением и законодательством Сторон.</w:t>
      </w:r>
      <w:r>
        <w:br/>
      </w:r>
      <w:r>
        <w:rPr>
          <w:rFonts w:ascii="Times New Roman"/>
          <w:b w:val="false"/>
          <w:i w:val="false"/>
          <w:color w:val="000000"/>
          <w:sz w:val="28"/>
        </w:rPr>
        <w:t>
</w:t>
      </w:r>
      <w:r>
        <w:rPr>
          <w:rFonts w:ascii="Times New Roman"/>
          <w:b w:val="false"/>
          <w:i w:val="false"/>
          <w:color w:val="000000"/>
          <w:sz w:val="28"/>
        </w:rPr>
        <w:t>
      Настоящее Соглашение не затрагивает прав и обязанностей Сторон по другим международным договорам, участниками которых они являются, и иным международным обязательствам Сторон.</w:t>
      </w:r>
      <w:r>
        <w:br/>
      </w:r>
      <w:r>
        <w:rPr>
          <w:rFonts w:ascii="Times New Roman"/>
          <w:b w:val="false"/>
          <w:i w:val="false"/>
          <w:color w:val="000000"/>
          <w:sz w:val="28"/>
        </w:rPr>
        <w:t>
</w:t>
      </w:r>
      <w:r>
        <w:rPr>
          <w:rFonts w:ascii="Times New Roman"/>
          <w:b w:val="false"/>
          <w:i w:val="false"/>
          <w:color w:val="000000"/>
          <w:sz w:val="28"/>
        </w:rPr>
        <w:t>
      Устанавливаемый в соответствии с настоящим Соглашением и законодательством Сторон порядок перемещения продукции военного назначения не распространяется на перемещения вооружения, военной техники, боеприпасов и иных материальных средств, осуществляемые:</w:t>
      </w:r>
      <w:r>
        <w:br/>
      </w:r>
      <w:r>
        <w:rPr>
          <w:rFonts w:ascii="Times New Roman"/>
          <w:b w:val="false"/>
          <w:i w:val="false"/>
          <w:color w:val="000000"/>
          <w:sz w:val="28"/>
        </w:rPr>
        <w:t>
</w:t>
      </w:r>
      <w:r>
        <w:rPr>
          <w:rFonts w:ascii="Times New Roman"/>
          <w:b w:val="false"/>
          <w:i w:val="false"/>
          <w:color w:val="000000"/>
          <w:sz w:val="28"/>
        </w:rPr>
        <w:t>
      при подготовке и проведении контртеррористических (войсковых) операций, командно-штабных и войсковых учений или военных парадов с участием объединений, соединений, войсковых частей и подразделенийвооруженных сил, иных войск, правоохранительных органов и специальных служб, воинских и других формирований государств – членов Таможенного союза, а также государств, не являющихся членами Таможенного союза, на территории одного или нескольких государств – членов Таможенного союза или за их пределами;</w:t>
      </w:r>
      <w:r>
        <w:br/>
      </w:r>
      <w:r>
        <w:rPr>
          <w:rFonts w:ascii="Times New Roman"/>
          <w:b w:val="false"/>
          <w:i w:val="false"/>
          <w:color w:val="000000"/>
          <w:sz w:val="28"/>
        </w:rPr>
        <w:t>
</w:t>
      </w:r>
      <w:r>
        <w:rPr>
          <w:rFonts w:ascii="Times New Roman"/>
          <w:b w:val="false"/>
          <w:i w:val="false"/>
          <w:color w:val="000000"/>
          <w:sz w:val="28"/>
        </w:rPr>
        <w:t>
      при оказании военно-технической помощи одним государством – членом Таможенного союза другому государству – члену Таможенного союза либо государству, не являющемуся членом Таможенного союза, а также государством, не являющимся членом Таможенного союза, одному из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между воинскими частями (учреждениями, формированиями), дислоцированными, в том числе временно, на территории государства – члена Таможенного союза и за пределами этой территории, в целях поддержания их боевой готовности, создания благоприятных условий для выполнения ими поставленных задач.</w:t>
      </w:r>
      <w:r>
        <w:br/>
      </w:r>
      <w:r>
        <w:rPr>
          <w:rFonts w:ascii="Times New Roman"/>
          <w:b w:val="false"/>
          <w:i w:val="false"/>
          <w:color w:val="000000"/>
          <w:sz w:val="28"/>
        </w:rPr>
        <w:t>
</w:t>
      </w:r>
      <w:r>
        <w:rPr>
          <w:rFonts w:ascii="Times New Roman"/>
          <w:b w:val="false"/>
          <w:i w:val="false"/>
          <w:color w:val="000000"/>
          <w:sz w:val="28"/>
        </w:rPr>
        <w:t>
      Перемещения, указанные в абзаце третьем настоящей статьи, регулируются другими международными договорами, участниками которых являются государства – члены Таможенного союза, и законодательством Сторон.</w:t>
      </w:r>
    </w:p>
    <w:bookmarkEnd w:id="8"/>
    <w:bookmarkStart w:name="z37" w:id="9"/>
    <w:p>
      <w:pPr>
        <w:spacing w:after="0"/>
        <w:ind w:left="0"/>
        <w:jc w:val="left"/>
      </w:pPr>
      <w:r>
        <w:rPr>
          <w:rFonts w:ascii="Times New Roman"/>
          <w:b/>
          <w:i w:val="false"/>
          <w:color w:val="000000"/>
        </w:rPr>
        <w:t xml:space="preserve"> 
Статья 3</w:t>
      </w:r>
    </w:p>
    <w:bookmarkEnd w:id="9"/>
    <w:bookmarkStart w:name="z38" w:id="10"/>
    <w:p>
      <w:pPr>
        <w:spacing w:after="0"/>
        <w:ind w:left="0"/>
        <w:jc w:val="both"/>
      </w:pPr>
      <w:r>
        <w:rPr>
          <w:rFonts w:ascii="Times New Roman"/>
          <w:b w:val="false"/>
          <w:i w:val="false"/>
          <w:color w:val="000000"/>
          <w:sz w:val="28"/>
        </w:rPr>
        <w:t>
      Стороны обеспечивают применение в своих государствах Единого списка продукции военного назначения.</w:t>
      </w:r>
      <w:r>
        <w:br/>
      </w:r>
      <w:r>
        <w:rPr>
          <w:rFonts w:ascii="Times New Roman"/>
          <w:b w:val="false"/>
          <w:i w:val="false"/>
          <w:color w:val="000000"/>
          <w:sz w:val="28"/>
        </w:rPr>
        <w:t>
</w:t>
      </w:r>
      <w:r>
        <w:rPr>
          <w:rFonts w:ascii="Times New Roman"/>
          <w:b w:val="false"/>
          <w:i w:val="false"/>
          <w:color w:val="000000"/>
          <w:sz w:val="28"/>
        </w:rPr>
        <w:t>
      Единый список продукции военного назначения и изменения в него формируются Евразийской экономической комиссией по предложению Сторон и утверждаются решением Высшего Евразийского экономического совета на уровне глав государств.</w:t>
      </w:r>
    </w:p>
    <w:bookmarkEnd w:id="10"/>
    <w:bookmarkStart w:name="z40" w:id="11"/>
    <w:p>
      <w:pPr>
        <w:spacing w:after="0"/>
        <w:ind w:left="0"/>
        <w:jc w:val="left"/>
      </w:pPr>
      <w:r>
        <w:rPr>
          <w:rFonts w:ascii="Times New Roman"/>
          <w:b/>
          <w:i w:val="false"/>
          <w:color w:val="000000"/>
        </w:rPr>
        <w:t xml:space="preserve"> 
Статья 4</w:t>
      </w:r>
    </w:p>
    <w:bookmarkEnd w:id="11"/>
    <w:bookmarkStart w:name="z41" w:id="12"/>
    <w:p>
      <w:pPr>
        <w:spacing w:after="0"/>
        <w:ind w:left="0"/>
        <w:jc w:val="both"/>
      </w:pPr>
      <w:r>
        <w:rPr>
          <w:rFonts w:ascii="Times New Roman"/>
          <w:b w:val="false"/>
          <w:i w:val="false"/>
          <w:color w:val="000000"/>
          <w:sz w:val="28"/>
        </w:rPr>
        <w:t>
      Стороны устанавливают разрешительный порядок ввоза, вывоза, внутреннего перемещения, транзита продукции военного назначения, предусматривающий лицензирование или иные формы государственного регулирования, и обеспечивают его реализацию.</w:t>
      </w:r>
      <w:r>
        <w:br/>
      </w:r>
      <w:r>
        <w:rPr>
          <w:rFonts w:ascii="Times New Roman"/>
          <w:b w:val="false"/>
          <w:i w:val="false"/>
          <w:color w:val="000000"/>
          <w:sz w:val="28"/>
        </w:rPr>
        <w:t>
</w:t>
      </w:r>
      <w:r>
        <w:rPr>
          <w:rFonts w:ascii="Times New Roman"/>
          <w:b w:val="false"/>
          <w:i w:val="false"/>
          <w:color w:val="000000"/>
          <w:sz w:val="28"/>
        </w:rPr>
        <w:t>
      Каждая из Сторон определяет уполномоченные органы и уведомляет об этом другие Стороны через Евразийскую экономическую комиссию.</w:t>
      </w:r>
    </w:p>
    <w:bookmarkEnd w:id="12"/>
    <w:bookmarkStart w:name="z43" w:id="13"/>
    <w:p>
      <w:pPr>
        <w:spacing w:after="0"/>
        <w:ind w:left="0"/>
        <w:jc w:val="left"/>
      </w:pPr>
      <w:r>
        <w:rPr>
          <w:rFonts w:ascii="Times New Roman"/>
          <w:b/>
          <w:i w:val="false"/>
          <w:color w:val="000000"/>
        </w:rPr>
        <w:t xml:space="preserve"> 
Статья 5</w:t>
      </w:r>
    </w:p>
    <w:bookmarkEnd w:id="13"/>
    <w:bookmarkStart w:name="z44" w:id="14"/>
    <w:p>
      <w:pPr>
        <w:spacing w:after="0"/>
        <w:ind w:left="0"/>
        <w:jc w:val="both"/>
      </w:pPr>
      <w:r>
        <w:rPr>
          <w:rFonts w:ascii="Times New Roman"/>
          <w:b w:val="false"/>
          <w:i w:val="false"/>
          <w:color w:val="000000"/>
          <w:sz w:val="28"/>
        </w:rPr>
        <w:t>
      Разрешение на ввоз, вывоз продукции военного назначения выдается участникам внешнеэкономической деятельности, уполномоченным органом Стороны, территория которой является для них постоянным местом регистрации, в порядке, установленном законодательством этой Стороны.</w:t>
      </w:r>
      <w:r>
        <w:br/>
      </w:r>
      <w:r>
        <w:rPr>
          <w:rFonts w:ascii="Times New Roman"/>
          <w:b w:val="false"/>
          <w:i w:val="false"/>
          <w:color w:val="000000"/>
          <w:sz w:val="28"/>
        </w:rPr>
        <w:t>
</w:t>
      </w:r>
      <w:r>
        <w:rPr>
          <w:rFonts w:ascii="Times New Roman"/>
          <w:b w:val="false"/>
          <w:i w:val="false"/>
          <w:color w:val="000000"/>
          <w:sz w:val="28"/>
        </w:rPr>
        <w:t>
      Перемещение продукции военного назначения через территорию государства – члена Таможенного союза при осуществлении ввоза (вывоза) этой продукции, в том числе маршрут и условия такого перемещения, согласовывается с уполномоченным органом этого государства.</w:t>
      </w:r>
      <w:r>
        <w:br/>
      </w:r>
      <w:r>
        <w:rPr>
          <w:rFonts w:ascii="Times New Roman"/>
          <w:b w:val="false"/>
          <w:i w:val="false"/>
          <w:color w:val="000000"/>
          <w:sz w:val="28"/>
        </w:rPr>
        <w:t>
</w:t>
      </w:r>
      <w:r>
        <w:rPr>
          <w:rFonts w:ascii="Times New Roman"/>
          <w:b w:val="false"/>
          <w:i w:val="false"/>
          <w:color w:val="000000"/>
          <w:sz w:val="28"/>
        </w:rPr>
        <w:t>
      Порядок согласования перемещения определяется Едиными правилами перемещения и контроля за перемещением продукции военного назначения между государствами – членами Таможенного союза, а также черезтаможенную границу Таможенного союза (далее – Единые правила). Срок согласования перемещения или выдачи уполномоченным органом мотивированного заключения об отказе в согласовании не должен превышать пятнадцать рабочих дней со дня поступления обращения.</w:t>
      </w:r>
      <w:r>
        <w:br/>
      </w:r>
      <w:r>
        <w:rPr>
          <w:rFonts w:ascii="Times New Roman"/>
          <w:b w:val="false"/>
          <w:i w:val="false"/>
          <w:color w:val="000000"/>
          <w:sz w:val="28"/>
        </w:rPr>
        <w:t>
</w:t>
      </w:r>
      <w:r>
        <w:rPr>
          <w:rFonts w:ascii="Times New Roman"/>
          <w:b w:val="false"/>
          <w:i w:val="false"/>
          <w:color w:val="000000"/>
          <w:sz w:val="28"/>
        </w:rPr>
        <w:t>
      Уполномоченный орган Стороны, выдавшей разрешение на ввоз, вывоз продукции военного назначения, должен уведомить о выдаче такого разрешения уполномоченный орган той Стороны, через территорию которой будет осуществляться перемещение продукции военного назначения.</w:t>
      </w:r>
      <w:r>
        <w:br/>
      </w:r>
      <w:r>
        <w:rPr>
          <w:rFonts w:ascii="Times New Roman"/>
          <w:b w:val="false"/>
          <w:i w:val="false"/>
          <w:color w:val="000000"/>
          <w:sz w:val="28"/>
        </w:rPr>
        <w:t>
</w:t>
      </w:r>
      <w:r>
        <w:rPr>
          <w:rFonts w:ascii="Times New Roman"/>
          <w:b w:val="false"/>
          <w:i w:val="false"/>
          <w:color w:val="000000"/>
          <w:sz w:val="28"/>
        </w:rPr>
        <w:t>
      Разрешения на ввоз, вывоз продукции военного назначения, выдаваемые уполномоченными органами любой из Сторон, признаются на территории Таможенного союза другими Сторонами и являются необходимым условием для совершения таможенных операций.</w:t>
      </w:r>
      <w:r>
        <w:br/>
      </w:r>
      <w:r>
        <w:rPr>
          <w:rFonts w:ascii="Times New Roman"/>
          <w:b w:val="false"/>
          <w:i w:val="false"/>
          <w:color w:val="000000"/>
          <w:sz w:val="28"/>
        </w:rPr>
        <w:t>
</w:t>
      </w:r>
      <w:r>
        <w:rPr>
          <w:rFonts w:ascii="Times New Roman"/>
          <w:b w:val="false"/>
          <w:i w:val="false"/>
          <w:color w:val="000000"/>
          <w:sz w:val="28"/>
        </w:rPr>
        <w:t>
      Оригинал разрешения на ввоз, вывоз продукции военного назначения представляется участником внешнеэкономической деятельности или лицом, уполномоченным им в установленном порядке, для постановки на контроль в таможенный орган того государства – члена Таможенного союза, на территории которого зарегистрирован участник внешнеэкономической деятельности.</w:t>
      </w:r>
    </w:p>
    <w:bookmarkEnd w:id="14"/>
    <w:bookmarkStart w:name="z50" w:id="15"/>
    <w:p>
      <w:pPr>
        <w:spacing w:after="0"/>
        <w:ind w:left="0"/>
        <w:jc w:val="left"/>
      </w:pPr>
      <w:r>
        <w:rPr>
          <w:rFonts w:ascii="Times New Roman"/>
          <w:b/>
          <w:i w:val="false"/>
          <w:color w:val="000000"/>
        </w:rPr>
        <w:t xml:space="preserve"> 
Статья 6</w:t>
      </w:r>
    </w:p>
    <w:bookmarkEnd w:id="15"/>
    <w:bookmarkStart w:name="z51" w:id="16"/>
    <w:p>
      <w:pPr>
        <w:spacing w:after="0"/>
        <w:ind w:left="0"/>
        <w:jc w:val="both"/>
      </w:pPr>
      <w:r>
        <w:rPr>
          <w:rFonts w:ascii="Times New Roman"/>
          <w:b w:val="false"/>
          <w:i w:val="false"/>
          <w:color w:val="000000"/>
          <w:sz w:val="28"/>
        </w:rPr>
        <w:t>
      Продукция военного назначения, временно ввозимая на территорию государства – члена Таможенного союза для участия в выставках, проведения испытаний, проверок, экспериментов, показа (демонстрации) свойств и характеристик, а также для использования в связи с производством продукции военного назначения, предназначенной для экспорта или обеспечения собственных воинских формирований, подлежит полному условному освобождению от уплаты таможенных пошлин и налогов на срок их временного ввоза.</w:t>
      </w:r>
      <w:r>
        <w:br/>
      </w:r>
      <w:r>
        <w:rPr>
          <w:rFonts w:ascii="Times New Roman"/>
          <w:b w:val="false"/>
          <w:i w:val="false"/>
          <w:color w:val="000000"/>
          <w:sz w:val="28"/>
        </w:rPr>
        <w:t>
</w:t>
      </w:r>
      <w:r>
        <w:rPr>
          <w:rFonts w:ascii="Times New Roman"/>
          <w:b w:val="false"/>
          <w:i w:val="false"/>
          <w:color w:val="000000"/>
          <w:sz w:val="28"/>
        </w:rPr>
        <w:t>
      Каждая из Сторон имеет право устанавливать предельные сроки временного ввоза продукции военного назначения на территорию своего государства свыше двух лет.</w:t>
      </w:r>
    </w:p>
    <w:bookmarkEnd w:id="16"/>
    <w:bookmarkStart w:name="z53" w:id="17"/>
    <w:p>
      <w:pPr>
        <w:spacing w:after="0"/>
        <w:ind w:left="0"/>
        <w:jc w:val="left"/>
      </w:pPr>
      <w:r>
        <w:rPr>
          <w:rFonts w:ascii="Times New Roman"/>
          <w:b/>
          <w:i w:val="false"/>
          <w:color w:val="000000"/>
        </w:rPr>
        <w:t xml:space="preserve"> 
Статья 7</w:t>
      </w:r>
    </w:p>
    <w:bookmarkEnd w:id="17"/>
    <w:bookmarkStart w:name="z54" w:id="18"/>
    <w:p>
      <w:pPr>
        <w:spacing w:after="0"/>
        <w:ind w:left="0"/>
        <w:jc w:val="both"/>
      </w:pPr>
      <w:r>
        <w:rPr>
          <w:rFonts w:ascii="Times New Roman"/>
          <w:b w:val="false"/>
          <w:i w:val="false"/>
          <w:color w:val="000000"/>
          <w:sz w:val="28"/>
        </w:rPr>
        <w:t>
      Уполномоченные органы Сторон не вправе выдавать разрешение на вывоз продукции военного назначения, страной происхождения которой является другая Сторона, в целях продажи, передачи в третьи государства без письменного согласия уполномоченного органа Стороны, являющейся страной происхождения.</w:t>
      </w:r>
      <w:r>
        <w:br/>
      </w:r>
      <w:r>
        <w:rPr>
          <w:rFonts w:ascii="Times New Roman"/>
          <w:b w:val="false"/>
          <w:i w:val="false"/>
          <w:color w:val="000000"/>
          <w:sz w:val="28"/>
        </w:rPr>
        <w:t>
</w:t>
      </w:r>
      <w:r>
        <w:rPr>
          <w:rFonts w:ascii="Times New Roman"/>
          <w:b w:val="false"/>
          <w:i w:val="false"/>
          <w:color w:val="000000"/>
          <w:sz w:val="28"/>
        </w:rPr>
        <w:t>
      Действие абзаца первого настоящей статьи не распространяется на продукцию военного назначения, права на которую получены Сторонами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прав и регулировании отношений собственности от 9 октября 1992 года, принятым в рамках Содружества Независимых Государств, а также на продукцию, приобретенную участниками внешнеэкономической деятельности Сторон в третьих странах.</w:t>
      </w:r>
      <w:r>
        <w:br/>
      </w:r>
      <w:r>
        <w:rPr>
          <w:rFonts w:ascii="Times New Roman"/>
          <w:b w:val="false"/>
          <w:i w:val="false"/>
          <w:color w:val="000000"/>
          <w:sz w:val="28"/>
        </w:rPr>
        <w:t>
</w:t>
      </w:r>
      <w:r>
        <w:rPr>
          <w:rFonts w:ascii="Times New Roman"/>
          <w:b w:val="false"/>
          <w:i w:val="false"/>
          <w:color w:val="000000"/>
          <w:sz w:val="28"/>
        </w:rPr>
        <w:t>
      Для целей настоящего Соглашения страна происхождения продукции военного назначения определяется в соответствии с законодательством, действующим в Таможенном союзе.</w:t>
      </w:r>
    </w:p>
    <w:bookmarkEnd w:id="18"/>
    <w:bookmarkStart w:name="z57" w:id="19"/>
    <w:p>
      <w:pPr>
        <w:spacing w:after="0"/>
        <w:ind w:left="0"/>
        <w:jc w:val="left"/>
      </w:pPr>
      <w:r>
        <w:rPr>
          <w:rFonts w:ascii="Times New Roman"/>
          <w:b/>
          <w:i w:val="false"/>
          <w:color w:val="000000"/>
        </w:rPr>
        <w:t xml:space="preserve"> 
Статья 8</w:t>
      </w:r>
    </w:p>
    <w:bookmarkEnd w:id="19"/>
    <w:bookmarkStart w:name="z58" w:id="20"/>
    <w:p>
      <w:pPr>
        <w:spacing w:after="0"/>
        <w:ind w:left="0"/>
        <w:jc w:val="both"/>
      </w:pPr>
      <w:r>
        <w:rPr>
          <w:rFonts w:ascii="Times New Roman"/>
          <w:b w:val="false"/>
          <w:i w:val="false"/>
          <w:color w:val="000000"/>
          <w:sz w:val="28"/>
        </w:rPr>
        <w:t>
      Внутреннее перемещение продукции военного назначения осуществляется с учетом положений международных договоров между Сторонами и законодательства Сторон.</w:t>
      </w:r>
      <w:r>
        <w:br/>
      </w:r>
      <w:r>
        <w:rPr>
          <w:rFonts w:ascii="Times New Roman"/>
          <w:b w:val="false"/>
          <w:i w:val="false"/>
          <w:color w:val="000000"/>
          <w:sz w:val="28"/>
        </w:rPr>
        <w:t>
</w:t>
      </w:r>
      <w:r>
        <w:rPr>
          <w:rFonts w:ascii="Times New Roman"/>
          <w:b w:val="false"/>
          <w:i w:val="false"/>
          <w:color w:val="000000"/>
          <w:sz w:val="28"/>
        </w:rPr>
        <w:t>
      Разрешение на внутреннее перемещение продукции военного назначения выдается участникам внешнеэкономической деятельности уполномоченным органом Стороны, территория которой является для них постоянным местом регистрации, в порядке, установленном законодательством этой Стороны.</w:t>
      </w:r>
      <w:r>
        <w:br/>
      </w:r>
      <w:r>
        <w:rPr>
          <w:rFonts w:ascii="Times New Roman"/>
          <w:b w:val="false"/>
          <w:i w:val="false"/>
          <w:color w:val="000000"/>
          <w:sz w:val="28"/>
        </w:rPr>
        <w:t>
</w:t>
      </w:r>
      <w:r>
        <w:rPr>
          <w:rFonts w:ascii="Times New Roman"/>
          <w:b w:val="false"/>
          <w:i w:val="false"/>
          <w:color w:val="000000"/>
          <w:sz w:val="28"/>
        </w:rPr>
        <w:t>
      Перемещение продукции военного назначения через территорию государства – члена Таможенного союза при осуществлении внутреннего перемещения этой продукции, в том числе маршрут и условия такого перемещения, согласовывается с уполномоченным органом этого государства.</w:t>
      </w:r>
      <w:r>
        <w:br/>
      </w:r>
      <w:r>
        <w:rPr>
          <w:rFonts w:ascii="Times New Roman"/>
          <w:b w:val="false"/>
          <w:i w:val="false"/>
          <w:color w:val="000000"/>
          <w:sz w:val="28"/>
        </w:rPr>
        <w:t>
</w:t>
      </w:r>
      <w:r>
        <w:rPr>
          <w:rFonts w:ascii="Times New Roman"/>
          <w:b w:val="false"/>
          <w:i w:val="false"/>
          <w:color w:val="000000"/>
          <w:sz w:val="28"/>
        </w:rPr>
        <w:t>
      Порядок согласования перемещения определяется Едиными правилами. Срок согласования перемещения или выдачи уполномоченным органом мотивированного заключения об отказе в согласовании не должен превышать пятнадцать рабочих дней со дня поступления обращения.</w:t>
      </w:r>
      <w:r>
        <w:br/>
      </w:r>
      <w:r>
        <w:rPr>
          <w:rFonts w:ascii="Times New Roman"/>
          <w:b w:val="false"/>
          <w:i w:val="false"/>
          <w:color w:val="000000"/>
          <w:sz w:val="28"/>
        </w:rPr>
        <w:t>
</w:t>
      </w:r>
      <w:r>
        <w:rPr>
          <w:rFonts w:ascii="Times New Roman"/>
          <w:b w:val="false"/>
          <w:i w:val="false"/>
          <w:color w:val="000000"/>
          <w:sz w:val="28"/>
        </w:rPr>
        <w:t>
      Уполномоченный орган Стороны, выдавшей разрешение на внутреннее перемещение продукции военного назначения, должен уведомить о выдаче такого разрешения уполномоченный орган той Стороны, через территорию которой будет осуществляться перемещение продукции военного назначения.</w:t>
      </w:r>
    </w:p>
    <w:bookmarkEnd w:id="20"/>
    <w:bookmarkStart w:name="z63" w:id="21"/>
    <w:p>
      <w:pPr>
        <w:spacing w:after="0"/>
        <w:ind w:left="0"/>
        <w:jc w:val="left"/>
      </w:pPr>
      <w:r>
        <w:rPr>
          <w:rFonts w:ascii="Times New Roman"/>
          <w:b/>
          <w:i w:val="false"/>
          <w:color w:val="000000"/>
        </w:rPr>
        <w:t xml:space="preserve"> 
Статья 9</w:t>
      </w:r>
    </w:p>
    <w:bookmarkEnd w:id="21"/>
    <w:bookmarkStart w:name="z64" w:id="22"/>
    <w:p>
      <w:pPr>
        <w:spacing w:after="0"/>
        <w:ind w:left="0"/>
        <w:jc w:val="both"/>
      </w:pPr>
      <w:r>
        <w:rPr>
          <w:rFonts w:ascii="Times New Roman"/>
          <w:b w:val="false"/>
          <w:i w:val="false"/>
          <w:color w:val="000000"/>
          <w:sz w:val="28"/>
        </w:rPr>
        <w:t>
      Стороны осуществляют контроль за ввозом, вывозом, внутренним перемещением, транзитом продукции военного назначения, включая экспортный контроль.</w:t>
      </w:r>
    </w:p>
    <w:bookmarkEnd w:id="22"/>
    <w:bookmarkStart w:name="z65" w:id="23"/>
    <w:p>
      <w:pPr>
        <w:spacing w:after="0"/>
        <w:ind w:left="0"/>
        <w:jc w:val="left"/>
      </w:pPr>
      <w:r>
        <w:rPr>
          <w:rFonts w:ascii="Times New Roman"/>
          <w:b/>
          <w:i w:val="false"/>
          <w:color w:val="000000"/>
        </w:rPr>
        <w:t xml:space="preserve"> 
Статья 10</w:t>
      </w:r>
    </w:p>
    <w:bookmarkEnd w:id="23"/>
    <w:bookmarkStart w:name="z66" w:id="24"/>
    <w:p>
      <w:pPr>
        <w:spacing w:after="0"/>
        <w:ind w:left="0"/>
        <w:jc w:val="both"/>
      </w:pPr>
      <w:r>
        <w:rPr>
          <w:rFonts w:ascii="Times New Roman"/>
          <w:b w:val="false"/>
          <w:i w:val="false"/>
          <w:color w:val="000000"/>
          <w:sz w:val="28"/>
        </w:rPr>
        <w:t>
      Уполномоченный орган каждой из Сторон при принятии решения о выдаче разрешения на ввоз, вывоз, внутреннее перемещение, транзит продукции военного назначения учитывает:</w:t>
      </w:r>
      <w:r>
        <w:br/>
      </w:r>
      <w:r>
        <w:rPr>
          <w:rFonts w:ascii="Times New Roman"/>
          <w:b w:val="false"/>
          <w:i w:val="false"/>
          <w:color w:val="000000"/>
          <w:sz w:val="28"/>
        </w:rPr>
        <w:t>
</w:t>
      </w:r>
      <w:r>
        <w:rPr>
          <w:rFonts w:ascii="Times New Roman"/>
          <w:b w:val="false"/>
          <w:i w:val="false"/>
          <w:color w:val="000000"/>
          <w:sz w:val="28"/>
        </w:rPr>
        <w:t>
      международные обязательства своего государства;</w:t>
      </w:r>
      <w:r>
        <w:br/>
      </w:r>
      <w:r>
        <w:rPr>
          <w:rFonts w:ascii="Times New Roman"/>
          <w:b w:val="false"/>
          <w:i w:val="false"/>
          <w:color w:val="000000"/>
          <w:sz w:val="28"/>
        </w:rPr>
        <w:t>
</w:t>
      </w:r>
      <w:r>
        <w:rPr>
          <w:rFonts w:ascii="Times New Roman"/>
          <w:b w:val="false"/>
          <w:i w:val="false"/>
          <w:color w:val="000000"/>
          <w:sz w:val="28"/>
        </w:rPr>
        <w:t>
      интересы национальной безопасности;</w:t>
      </w:r>
      <w:r>
        <w:br/>
      </w:r>
      <w:r>
        <w:rPr>
          <w:rFonts w:ascii="Times New Roman"/>
          <w:b w:val="false"/>
          <w:i w:val="false"/>
          <w:color w:val="000000"/>
          <w:sz w:val="28"/>
        </w:rPr>
        <w:t>
</w:t>
      </w:r>
      <w:r>
        <w:rPr>
          <w:rFonts w:ascii="Times New Roman"/>
          <w:b w:val="false"/>
          <w:i w:val="false"/>
          <w:color w:val="000000"/>
          <w:sz w:val="28"/>
        </w:rPr>
        <w:t>
      цели использования продукции военного назначения;</w:t>
      </w:r>
      <w:r>
        <w:br/>
      </w:r>
      <w:r>
        <w:rPr>
          <w:rFonts w:ascii="Times New Roman"/>
          <w:b w:val="false"/>
          <w:i w:val="false"/>
          <w:color w:val="000000"/>
          <w:sz w:val="28"/>
        </w:rPr>
        <w:t>
</w:t>
      </w:r>
      <w:r>
        <w:rPr>
          <w:rFonts w:ascii="Times New Roman"/>
          <w:b w:val="false"/>
          <w:i w:val="false"/>
          <w:color w:val="000000"/>
          <w:sz w:val="28"/>
        </w:rPr>
        <w:t>
      риски, связанные с опасностью нелегального распространения обычных вооружений;</w:t>
      </w:r>
      <w:r>
        <w:br/>
      </w:r>
      <w:r>
        <w:rPr>
          <w:rFonts w:ascii="Times New Roman"/>
          <w:b w:val="false"/>
          <w:i w:val="false"/>
          <w:color w:val="000000"/>
          <w:sz w:val="28"/>
        </w:rPr>
        <w:t>
</w:t>
      </w:r>
      <w:r>
        <w:rPr>
          <w:rFonts w:ascii="Times New Roman"/>
          <w:b w:val="false"/>
          <w:i w:val="false"/>
          <w:color w:val="000000"/>
          <w:sz w:val="28"/>
        </w:rPr>
        <w:t>
      иные факторы, предусмотренные законодательством своего государства.</w:t>
      </w:r>
    </w:p>
    <w:bookmarkEnd w:id="24"/>
    <w:bookmarkStart w:name="z72" w:id="25"/>
    <w:p>
      <w:pPr>
        <w:spacing w:after="0"/>
        <w:ind w:left="0"/>
        <w:jc w:val="left"/>
      </w:pPr>
      <w:r>
        <w:rPr>
          <w:rFonts w:ascii="Times New Roman"/>
          <w:b/>
          <w:i w:val="false"/>
          <w:color w:val="000000"/>
        </w:rPr>
        <w:t xml:space="preserve"> 
Статья 11</w:t>
      </w:r>
    </w:p>
    <w:bookmarkEnd w:id="25"/>
    <w:bookmarkStart w:name="z73" w:id="26"/>
    <w:p>
      <w:pPr>
        <w:spacing w:after="0"/>
        <w:ind w:left="0"/>
        <w:jc w:val="both"/>
      </w:pPr>
      <w:r>
        <w:rPr>
          <w:rFonts w:ascii="Times New Roman"/>
          <w:b w:val="false"/>
          <w:i w:val="false"/>
          <w:color w:val="000000"/>
          <w:sz w:val="28"/>
        </w:rPr>
        <w:t>
      Разрешение на транзит выдается уполномоченным органом Стороны, на территории которой находится таможенный орган в месте прибытия продукции военного назначения на единую таможенную территорию Таможенного союза, в порядке, установленном законодательством этой Стороны.</w:t>
      </w:r>
      <w:r>
        <w:br/>
      </w:r>
      <w:r>
        <w:rPr>
          <w:rFonts w:ascii="Times New Roman"/>
          <w:b w:val="false"/>
          <w:i w:val="false"/>
          <w:color w:val="000000"/>
          <w:sz w:val="28"/>
        </w:rPr>
        <w:t>
</w:t>
      </w:r>
      <w:r>
        <w:rPr>
          <w:rFonts w:ascii="Times New Roman"/>
          <w:b w:val="false"/>
          <w:i w:val="false"/>
          <w:color w:val="000000"/>
          <w:sz w:val="28"/>
        </w:rPr>
        <w:t>
      Разрешение на транзит продукции военного назначения, перемещение которой будет осуществляться через территорию других Сторон, выдается после согласования с уполномоченными органами Сторон, через территории которых планируется перемещение продукции военного назначения.</w:t>
      </w:r>
      <w:r>
        <w:br/>
      </w:r>
      <w:r>
        <w:rPr>
          <w:rFonts w:ascii="Times New Roman"/>
          <w:b w:val="false"/>
          <w:i w:val="false"/>
          <w:color w:val="000000"/>
          <w:sz w:val="28"/>
        </w:rPr>
        <w:t>
</w:t>
      </w:r>
      <w:r>
        <w:rPr>
          <w:rFonts w:ascii="Times New Roman"/>
          <w:b w:val="false"/>
          <w:i w:val="false"/>
          <w:color w:val="000000"/>
          <w:sz w:val="28"/>
        </w:rPr>
        <w:t>
      Разрешение на транзит, выданное уполномоченным органом любой из Сторон, признается на единой таможенной территории Таможенного союза и является документом, необходимым для совершения таможенных операций.</w:t>
      </w:r>
      <w:r>
        <w:br/>
      </w:r>
      <w:r>
        <w:rPr>
          <w:rFonts w:ascii="Times New Roman"/>
          <w:b w:val="false"/>
          <w:i w:val="false"/>
          <w:color w:val="000000"/>
          <w:sz w:val="28"/>
        </w:rPr>
        <w:t>
</w:t>
      </w:r>
      <w:r>
        <w:rPr>
          <w:rFonts w:ascii="Times New Roman"/>
          <w:b w:val="false"/>
          <w:i w:val="false"/>
          <w:color w:val="000000"/>
          <w:sz w:val="28"/>
        </w:rPr>
        <w:t>
      Уполномоченный орган Стороны, выдавшей разрешение на транзит, информирует уполномоченные органы Сторон, через территорию которых планируется транзит.</w:t>
      </w:r>
    </w:p>
    <w:bookmarkEnd w:id="26"/>
    <w:bookmarkStart w:name="z77" w:id="27"/>
    <w:p>
      <w:pPr>
        <w:spacing w:after="0"/>
        <w:ind w:left="0"/>
        <w:jc w:val="left"/>
      </w:pPr>
      <w:r>
        <w:rPr>
          <w:rFonts w:ascii="Times New Roman"/>
          <w:b/>
          <w:i w:val="false"/>
          <w:color w:val="000000"/>
        </w:rPr>
        <w:t xml:space="preserve"> 
Статья 12</w:t>
      </w:r>
    </w:p>
    <w:bookmarkEnd w:id="27"/>
    <w:bookmarkStart w:name="z78" w:id="28"/>
    <w:p>
      <w:pPr>
        <w:spacing w:after="0"/>
        <w:ind w:left="0"/>
        <w:jc w:val="both"/>
      </w:pPr>
      <w:r>
        <w:rPr>
          <w:rFonts w:ascii="Times New Roman"/>
          <w:b w:val="false"/>
          <w:i w:val="false"/>
          <w:color w:val="000000"/>
          <w:sz w:val="28"/>
        </w:rPr>
        <w:t>
      Уполномоченный орган каждой из Сторон вправе отказать в выдаче разрешения на ввоз, вывоз, внутреннее перемещение, транзит продукции военного назначения, а также аннулировать, приостановить и возобновить действие ранее выданного им разрешения или изменить условия действия разрешения на основаниях, предусмотренных законодательством и (или) международными обязательствами своей Стороны.</w:t>
      </w:r>
      <w:r>
        <w:br/>
      </w:r>
      <w:r>
        <w:rPr>
          <w:rFonts w:ascii="Times New Roman"/>
          <w:b w:val="false"/>
          <w:i w:val="false"/>
          <w:color w:val="000000"/>
          <w:sz w:val="28"/>
        </w:rPr>
        <w:t>
</w:t>
      </w:r>
      <w:r>
        <w:rPr>
          <w:rFonts w:ascii="Times New Roman"/>
          <w:b w:val="false"/>
          <w:i w:val="false"/>
          <w:color w:val="000000"/>
          <w:sz w:val="28"/>
        </w:rPr>
        <w:t>
      Уполномоченный орган Стороны, принявшей решение об аннулировании, приостановлении, возобновлении или изменении условий действия выданного им разрешения на ввоз, вывоз, внутреннее перемещение продукции военного назначения, перемещение которой планировалось осуществить через территорию другой Стороны, информирует уполномоченный орган этой Стороны о принятом решении, а также, при необходимости, об отказе в выдаче разрешения в срок, не превышающий семи рабочих дней.</w:t>
      </w:r>
    </w:p>
    <w:bookmarkEnd w:id="28"/>
    <w:bookmarkStart w:name="z80" w:id="29"/>
    <w:p>
      <w:pPr>
        <w:spacing w:after="0"/>
        <w:ind w:left="0"/>
        <w:jc w:val="left"/>
      </w:pPr>
      <w:r>
        <w:rPr>
          <w:rFonts w:ascii="Times New Roman"/>
          <w:b/>
          <w:i w:val="false"/>
          <w:color w:val="000000"/>
        </w:rPr>
        <w:t xml:space="preserve"> 
Статья 13</w:t>
      </w:r>
    </w:p>
    <w:bookmarkEnd w:id="29"/>
    <w:bookmarkStart w:name="z81" w:id="30"/>
    <w:p>
      <w:pPr>
        <w:spacing w:after="0"/>
        <w:ind w:left="0"/>
        <w:jc w:val="both"/>
      </w:pPr>
      <w:r>
        <w:rPr>
          <w:rFonts w:ascii="Times New Roman"/>
          <w:b w:val="false"/>
          <w:i w:val="false"/>
          <w:color w:val="000000"/>
          <w:sz w:val="28"/>
        </w:rPr>
        <w:t>
      Каждая из Сторон обеспечивает проведение уполномоченными органами или уполномоченными организациями Стороны идентификации и оформление идентификационных заключений по форме и в порядке, которые установлены законодательством Стороны.</w:t>
      </w:r>
      <w:r>
        <w:br/>
      </w:r>
      <w:r>
        <w:rPr>
          <w:rFonts w:ascii="Times New Roman"/>
          <w:b w:val="false"/>
          <w:i w:val="false"/>
          <w:color w:val="000000"/>
          <w:sz w:val="28"/>
        </w:rPr>
        <w:t>
      Идентификационное заключение, выданное уполномоченным органом или уполномоченной организацией одной из Сторон, признается другими Сторонами.</w:t>
      </w:r>
      <w:r>
        <w:br/>
      </w:r>
      <w:r>
        <w:rPr>
          <w:rFonts w:ascii="Times New Roman"/>
          <w:b w:val="false"/>
          <w:i w:val="false"/>
          <w:color w:val="000000"/>
          <w:sz w:val="28"/>
        </w:rPr>
        <w:t>
</w:t>
      </w:r>
      <w:r>
        <w:rPr>
          <w:rFonts w:ascii="Times New Roman"/>
          <w:b w:val="false"/>
          <w:i w:val="false"/>
          <w:color w:val="000000"/>
          <w:sz w:val="28"/>
        </w:rPr>
        <w:t>
      Уполномоченный орган каждой из Сторон вправе аннулировать, приостановить, возобновить действие, а также вносить изменения в выданное им идентификационное заключение на основании,предусмотренном  аконодательством своего государства. Уполномоченный орган, принявшийтакое решение, информирует, если это необходимо для надлежащего исполнения настоящего Соглашения, уполномоченные органы Сторон в срок, не превышающий семи рабочих дней с даты принятия решения.</w:t>
      </w:r>
      <w:r>
        <w:br/>
      </w:r>
      <w:r>
        <w:rPr>
          <w:rFonts w:ascii="Times New Roman"/>
          <w:b w:val="false"/>
          <w:i w:val="false"/>
          <w:color w:val="000000"/>
          <w:sz w:val="28"/>
        </w:rPr>
        <w:t>
</w:t>
      </w:r>
      <w:r>
        <w:rPr>
          <w:rFonts w:ascii="Times New Roman"/>
          <w:b w:val="false"/>
          <w:i w:val="false"/>
          <w:color w:val="000000"/>
          <w:sz w:val="28"/>
        </w:rPr>
        <w:t>
      Уполномоченный орган или уполномоченная организация одной из Сторон вправе обратиться за содействием в проведении идентификации в уполномоченный орган другой Стороны.</w:t>
      </w:r>
    </w:p>
    <w:bookmarkEnd w:id="30"/>
    <w:bookmarkStart w:name="z84" w:id="31"/>
    <w:p>
      <w:pPr>
        <w:spacing w:after="0"/>
        <w:ind w:left="0"/>
        <w:jc w:val="left"/>
      </w:pPr>
      <w:r>
        <w:rPr>
          <w:rFonts w:ascii="Times New Roman"/>
          <w:b/>
          <w:i w:val="false"/>
          <w:color w:val="000000"/>
        </w:rPr>
        <w:t xml:space="preserve"> 
Статья 14</w:t>
      </w:r>
    </w:p>
    <w:bookmarkEnd w:id="31"/>
    <w:bookmarkStart w:name="z85" w:id="32"/>
    <w:p>
      <w:pPr>
        <w:spacing w:after="0"/>
        <w:ind w:left="0"/>
        <w:jc w:val="both"/>
      </w:pPr>
      <w:r>
        <w:rPr>
          <w:rFonts w:ascii="Times New Roman"/>
          <w:b w:val="false"/>
          <w:i w:val="false"/>
          <w:color w:val="000000"/>
          <w:sz w:val="28"/>
        </w:rPr>
        <w:t>
      Стороны через Евразийскую экономическую комиссию обмениваются образцами разрешений и идентификационных заключений, списками должностных лиц, уполномоченных подписывать разрешения, идентификационные заключения и сертификаты конечного пользователя, а также образцами подписей и оттисков печатей, которыми эти документы заверяются.</w:t>
      </w:r>
      <w:r>
        <w:br/>
      </w:r>
      <w:r>
        <w:rPr>
          <w:rFonts w:ascii="Times New Roman"/>
          <w:b w:val="false"/>
          <w:i w:val="false"/>
          <w:color w:val="000000"/>
          <w:sz w:val="28"/>
        </w:rPr>
        <w:t>
</w:t>
      </w:r>
      <w:r>
        <w:rPr>
          <w:rFonts w:ascii="Times New Roman"/>
          <w:b w:val="false"/>
          <w:i w:val="false"/>
          <w:color w:val="000000"/>
          <w:sz w:val="28"/>
        </w:rPr>
        <w:t>
      Оформленные надлежащим образом и подписанные указанными в абзаце первом настоящей статьи лицами документы не требуютлегализации  ля использования на территории Таможенного союза.</w:t>
      </w:r>
    </w:p>
    <w:bookmarkEnd w:id="32"/>
    <w:bookmarkStart w:name="z87" w:id="33"/>
    <w:p>
      <w:pPr>
        <w:spacing w:after="0"/>
        <w:ind w:left="0"/>
        <w:jc w:val="left"/>
      </w:pPr>
      <w:r>
        <w:rPr>
          <w:rFonts w:ascii="Times New Roman"/>
          <w:b/>
          <w:i w:val="false"/>
          <w:color w:val="000000"/>
        </w:rPr>
        <w:t xml:space="preserve"> 
Статья 15</w:t>
      </w:r>
    </w:p>
    <w:bookmarkEnd w:id="33"/>
    <w:bookmarkStart w:name="z88" w:id="34"/>
    <w:p>
      <w:pPr>
        <w:spacing w:after="0"/>
        <w:ind w:left="0"/>
        <w:jc w:val="both"/>
      </w:pPr>
      <w:r>
        <w:rPr>
          <w:rFonts w:ascii="Times New Roman"/>
          <w:b w:val="false"/>
          <w:i w:val="false"/>
          <w:color w:val="000000"/>
          <w:sz w:val="28"/>
        </w:rPr>
        <w:t>
      Единые правила разрабатываются Евразийской экономической комиссией на основании предложений Сторон и утверждаются решением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Стороны обеспечивают применение на своих территориях Единых правил по истечении шести месяцев с даты их утверждения.</w:t>
      </w:r>
    </w:p>
    <w:bookmarkEnd w:id="34"/>
    <w:bookmarkStart w:name="z90" w:id="35"/>
    <w:p>
      <w:pPr>
        <w:spacing w:after="0"/>
        <w:ind w:left="0"/>
        <w:jc w:val="left"/>
      </w:pPr>
      <w:r>
        <w:rPr>
          <w:rFonts w:ascii="Times New Roman"/>
          <w:b/>
          <w:i w:val="false"/>
          <w:color w:val="000000"/>
        </w:rPr>
        <w:t xml:space="preserve"> 
Статья 16</w:t>
      </w:r>
    </w:p>
    <w:bookmarkEnd w:id="35"/>
    <w:bookmarkStart w:name="z91" w:id="36"/>
    <w:p>
      <w:pPr>
        <w:spacing w:after="0"/>
        <w:ind w:left="0"/>
        <w:jc w:val="both"/>
      </w:pPr>
      <w:r>
        <w:rPr>
          <w:rFonts w:ascii="Times New Roman"/>
          <w:b w:val="false"/>
          <w:i w:val="false"/>
          <w:color w:val="000000"/>
          <w:sz w:val="28"/>
        </w:rPr>
        <w:t>
      В целях обеспечения выполнения обязательств, вытекающих из настоящего Соглашения, уполномоченные органы Сторон информируют друг друга о случаях выявления и пресечения нарушений законодательства своих государств.</w:t>
      </w:r>
      <w:r>
        <w:br/>
      </w:r>
      <w:r>
        <w:rPr>
          <w:rFonts w:ascii="Times New Roman"/>
          <w:b w:val="false"/>
          <w:i w:val="false"/>
          <w:color w:val="000000"/>
          <w:sz w:val="28"/>
        </w:rPr>
        <w:t>
</w:t>
      </w:r>
      <w:r>
        <w:rPr>
          <w:rFonts w:ascii="Times New Roman"/>
          <w:b w:val="false"/>
          <w:i w:val="false"/>
          <w:color w:val="000000"/>
          <w:sz w:val="28"/>
        </w:rPr>
        <w:t>
      Стороны обеспечивают осуществление взаимодействия между уполномоченными органами, в том числе с использованием электронных информационных систем.</w:t>
      </w:r>
    </w:p>
    <w:bookmarkEnd w:id="36"/>
    <w:bookmarkStart w:name="z93" w:id="37"/>
    <w:p>
      <w:pPr>
        <w:spacing w:after="0"/>
        <w:ind w:left="0"/>
        <w:jc w:val="left"/>
      </w:pPr>
      <w:r>
        <w:rPr>
          <w:rFonts w:ascii="Times New Roman"/>
          <w:b/>
          <w:i w:val="false"/>
          <w:color w:val="000000"/>
        </w:rPr>
        <w:t xml:space="preserve"> 
Статья 17</w:t>
      </w:r>
    </w:p>
    <w:bookmarkEnd w:id="37"/>
    <w:bookmarkStart w:name="z94" w:id="38"/>
    <w:p>
      <w:pPr>
        <w:spacing w:after="0"/>
        <w:ind w:left="0"/>
        <w:jc w:val="both"/>
      </w:pPr>
      <w:r>
        <w:rPr>
          <w:rFonts w:ascii="Times New Roman"/>
          <w:b w:val="false"/>
          <w:i w:val="false"/>
          <w:color w:val="000000"/>
          <w:sz w:val="28"/>
        </w:rPr>
        <w:t>
      Каждая из Сторон обеспечивает конфиденциальность информации, полученной в рамках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Такая информация может использоваться какой-либо из Сторон исключительно в целях осуществления экспортного контроля и может передаваться государствам, не являющимся участниками настоящего Соглашения, только в случаях и в объеме, предусмотренных международными обязательствами Сторон.</w:t>
      </w:r>
      <w:r>
        <w:br/>
      </w:r>
      <w:r>
        <w:rPr>
          <w:rFonts w:ascii="Times New Roman"/>
          <w:b w:val="false"/>
          <w:i w:val="false"/>
          <w:color w:val="000000"/>
          <w:sz w:val="28"/>
        </w:rPr>
        <w:t>
</w:t>
      </w:r>
      <w:r>
        <w:rPr>
          <w:rFonts w:ascii="Times New Roman"/>
          <w:b w:val="false"/>
          <w:i w:val="false"/>
          <w:color w:val="000000"/>
          <w:sz w:val="28"/>
        </w:rPr>
        <w:t>
      В иных случаях передача какой-либо Стороной информации, предоставленной ей в рамках настоящего Соглашения, третьей стороне, не являющейся участницей настоящего Соглашения, может быть осуществлена исключительно по согласованию со Стороной, предоставившей такую информацию.</w:t>
      </w:r>
      <w:r>
        <w:br/>
      </w:r>
      <w:r>
        <w:rPr>
          <w:rFonts w:ascii="Times New Roman"/>
          <w:b w:val="false"/>
          <w:i w:val="false"/>
          <w:color w:val="000000"/>
          <w:sz w:val="28"/>
        </w:rPr>
        <w:t>
</w:t>
      </w:r>
      <w:r>
        <w:rPr>
          <w:rFonts w:ascii="Times New Roman"/>
          <w:b w:val="false"/>
          <w:i w:val="false"/>
          <w:color w:val="000000"/>
          <w:sz w:val="28"/>
        </w:rPr>
        <w:t>
      Указанные в настоящей статье обязательства Сторон остаются в силе, в том числе и в случае выхода какой-либо из Сторон из настоящего Соглашения.</w:t>
      </w:r>
    </w:p>
    <w:bookmarkEnd w:id="38"/>
    <w:bookmarkStart w:name="z98" w:id="39"/>
    <w:p>
      <w:pPr>
        <w:spacing w:after="0"/>
        <w:ind w:left="0"/>
        <w:jc w:val="left"/>
      </w:pPr>
      <w:r>
        <w:rPr>
          <w:rFonts w:ascii="Times New Roman"/>
          <w:b/>
          <w:i w:val="false"/>
          <w:color w:val="000000"/>
        </w:rPr>
        <w:t xml:space="preserve"> 
Статья 18</w:t>
      </w:r>
    </w:p>
    <w:bookmarkEnd w:id="39"/>
    <w:bookmarkStart w:name="z99" w:id="40"/>
    <w:p>
      <w:pPr>
        <w:spacing w:after="0"/>
        <w:ind w:left="0"/>
        <w:jc w:val="both"/>
      </w:pPr>
      <w:r>
        <w:rPr>
          <w:rFonts w:ascii="Times New Roman"/>
          <w:b w:val="false"/>
          <w:i w:val="false"/>
          <w:color w:val="000000"/>
          <w:sz w:val="28"/>
        </w:rPr>
        <w:t>
      Стороны не реже одного раза в год будут проводить консультации экспертов в целях обмена информацией по вопросам реализации данного Соглашения, в том числе о правовых актах, принятых во исполнение настоящего Соглашения.</w:t>
      </w:r>
    </w:p>
    <w:bookmarkEnd w:id="40"/>
    <w:bookmarkStart w:name="z100" w:id="41"/>
    <w:p>
      <w:pPr>
        <w:spacing w:after="0"/>
        <w:ind w:left="0"/>
        <w:jc w:val="left"/>
      </w:pPr>
      <w:r>
        <w:rPr>
          <w:rFonts w:ascii="Times New Roman"/>
          <w:b/>
          <w:i w:val="false"/>
          <w:color w:val="000000"/>
        </w:rPr>
        <w:t xml:space="preserve"> 
Статья 19</w:t>
      </w:r>
    </w:p>
    <w:bookmarkEnd w:id="41"/>
    <w:bookmarkStart w:name="z101" w:id="42"/>
    <w:p>
      <w:pPr>
        <w:spacing w:after="0"/>
        <w:ind w:left="0"/>
        <w:jc w:val="both"/>
      </w:pPr>
      <w:r>
        <w:rPr>
          <w:rFonts w:ascii="Times New Roman"/>
          <w:b w:val="false"/>
          <w:i w:val="false"/>
          <w:color w:val="000000"/>
          <w:sz w:val="28"/>
        </w:rPr>
        <w:t>
      По договоренности Сторон в настоящее Соглашение могут вноситься изменения и дополнения, которые оформляются отдельными протоколами, являющимися неотъемлемой частью настоящего Соглашения.</w:t>
      </w:r>
    </w:p>
    <w:bookmarkEnd w:id="42"/>
    <w:bookmarkStart w:name="z102" w:id="43"/>
    <w:p>
      <w:pPr>
        <w:spacing w:after="0"/>
        <w:ind w:left="0"/>
        <w:jc w:val="left"/>
      </w:pPr>
      <w:r>
        <w:rPr>
          <w:rFonts w:ascii="Times New Roman"/>
          <w:b/>
          <w:i w:val="false"/>
          <w:color w:val="000000"/>
        </w:rPr>
        <w:t xml:space="preserve"> 
Статья 20</w:t>
      </w:r>
    </w:p>
    <w:bookmarkEnd w:id="43"/>
    <w:bookmarkStart w:name="z103" w:id="44"/>
    <w:p>
      <w:pPr>
        <w:spacing w:after="0"/>
        <w:ind w:left="0"/>
        <w:jc w:val="both"/>
      </w:pPr>
      <w:r>
        <w:rPr>
          <w:rFonts w:ascii="Times New Roman"/>
          <w:b w:val="false"/>
          <w:i w:val="false"/>
          <w:color w:val="000000"/>
          <w:sz w:val="28"/>
        </w:rPr>
        <w:t>
      Споры между Сторонами, связанные с толкованием и (или) выполнением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путем переговоров и консультаций в течение шести месяцев с даты официальной письменной просьбы об их проведении, направленной одной из Сторон другой Стороне, то при отсутствии иной договоренности между Сторонами относительно способа его разрешения любая из Сторон передает этот спор для рассмотрения в Суд Евразийского экономического сообщества.</w:t>
      </w:r>
    </w:p>
    <w:bookmarkEnd w:id="44"/>
    <w:bookmarkStart w:name="z105" w:id="45"/>
    <w:p>
      <w:pPr>
        <w:spacing w:after="0"/>
        <w:ind w:left="0"/>
        <w:jc w:val="left"/>
      </w:pPr>
      <w:r>
        <w:rPr>
          <w:rFonts w:ascii="Times New Roman"/>
          <w:b/>
          <w:i w:val="false"/>
          <w:color w:val="000000"/>
        </w:rPr>
        <w:t xml:space="preserve"> 
Статья 21</w:t>
      </w:r>
    </w:p>
    <w:bookmarkEnd w:id="45"/>
    <w:bookmarkStart w:name="z106" w:id="46"/>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Совершено в городе ___________ « ___ » _________ 2012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3473"/>
        <w:gridCol w:w="3473"/>
      </w:tblGrid>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Республику</w:t>
            </w:r>
            <w:r>
              <w:br/>
            </w:r>
            <w:r>
              <w:rPr>
                <w:rFonts w:ascii="Times New Roman"/>
                <w:b w:val="false"/>
                <w:i w:val="false"/>
                <w:color w:val="000000"/>
                <w:sz w:val="20"/>
              </w:rPr>
              <w:t>
</w:t>
            </w:r>
            <w:r>
              <w:rPr>
                <w:rFonts w:ascii="Times New Roman"/>
                <w:b w:val="false"/>
                <w:i/>
                <w:color w:val="000000"/>
                <w:sz w:val="20"/>
              </w:rPr>
              <w:t>Беларусь</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Российскую</w:t>
            </w:r>
            <w:r>
              <w:br/>
            </w: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9" w:id="47"/>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10 мая 2012 г. № 41       </w:t>
      </w:r>
    </w:p>
    <w:bookmarkEnd w:id="47"/>
    <w:bookmarkStart w:name="z110" w:id="48"/>
    <w:p>
      <w:pPr>
        <w:spacing w:after="0"/>
        <w:ind w:left="0"/>
        <w:jc w:val="both"/>
      </w:pPr>
      <w:r>
        <w:rPr>
          <w:rFonts w:ascii="Times New Roman"/>
          <w:b w:val="false"/>
          <w:i w:val="false"/>
          <w:color w:val="000000"/>
          <w:sz w:val="28"/>
        </w:rPr>
        <w:t>
      1. </w:t>
      </w:r>
      <w:r>
        <w:rPr>
          <w:rFonts w:ascii="Times New Roman"/>
          <w:b w:val="false"/>
          <w:i w:val="false"/>
          <w:color w:val="000000"/>
          <w:sz w:val="28"/>
        </w:rPr>
        <w:t>Абзац 6</w:t>
      </w:r>
      <w:r>
        <w:rPr>
          <w:rFonts w:ascii="Times New Roman"/>
          <w:b w:val="false"/>
          <w:i w:val="false"/>
          <w:color w:val="000000"/>
          <w:sz w:val="28"/>
        </w:rPr>
        <w:t xml:space="preserve"> статьи 5 проекта Соглашения изложить в следующей редакции: «Для целей таможенного контроля оригинал разрешения на ввоз, вывоз продукции военного назначения предоставляется в таможенный орган государства – члена Таможенного союза, на территории  оторого зарегистрирован участник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6</w:t>
      </w:r>
      <w:r>
        <w:rPr>
          <w:rFonts w:ascii="Times New Roman"/>
          <w:b w:val="false"/>
          <w:i w:val="false"/>
          <w:color w:val="000000"/>
          <w:sz w:val="28"/>
        </w:rPr>
        <w:t xml:space="preserve"> проекта Соглашения изложить в следующей редакции: «Продукция военного назначения, временно ввозимая на территорию государства – члена Таможенного союза для участия в выставках, проведения испытаний, проверок, экспериментов, показа (демонстраций) свойств и характеристик, используется в пределах территории государства – члена Таможенного союза с полным условным освобождением от уплаты таможенных пошлин, налогов в течение срока временного ввоза.</w:t>
      </w:r>
      <w:r>
        <w:br/>
      </w:r>
      <w:r>
        <w:rPr>
          <w:rFonts w:ascii="Times New Roman"/>
          <w:b w:val="false"/>
          <w:i w:val="false"/>
          <w:color w:val="000000"/>
          <w:sz w:val="28"/>
        </w:rPr>
        <w:t>
</w:t>
      </w:r>
      <w:r>
        <w:rPr>
          <w:rFonts w:ascii="Times New Roman"/>
          <w:b w:val="false"/>
          <w:i w:val="false"/>
          <w:color w:val="000000"/>
          <w:sz w:val="28"/>
        </w:rPr>
        <w:t>
      Продукция военного назначения, предназначенная для проведения с ней или с ее использованием испытаний, проверок, экспериментов и (или) показа свойств и характеристик и потребляемая в таких целях – в случае если ее использование не имеет целью извлечение дохода, подлежит освобождению от уплаты пошлин, налогов в порядке, установленном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16</w:t>
      </w:r>
      <w:r>
        <w:rPr>
          <w:rFonts w:ascii="Times New Roman"/>
          <w:b w:val="false"/>
          <w:i w:val="false"/>
          <w:color w:val="000000"/>
          <w:sz w:val="28"/>
        </w:rPr>
        <w:t xml:space="preserve"> дополнить абзацем следующего содержания «Порядок указанного взаимодействия определяется Едиными правилами».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Абзац 10</w:t>
      </w:r>
      <w:r>
        <w:rPr>
          <w:rFonts w:ascii="Times New Roman"/>
          <w:b w:val="false"/>
          <w:i w:val="false"/>
          <w:color w:val="000000"/>
          <w:sz w:val="28"/>
        </w:rPr>
        <w:t xml:space="preserve"> Статьи 1 проекта Соглашения изложить в следующей редакции: «транзит – перемещение через территорию государств – членов Таможенного союза продукции военного назначения, в том числе водным транспортом и воздушным транспортом с посадкой на территории государств – членов Таможенного союза, начинающееся и заканчивающееся на границе единой таможенной территории Таможенного союза, а также перемещение продукции военного назначения с территории одного государства - члена Таможенного союза на территорию этого же государства - члена Таможенного союза через территорию другого государства - члена Таможенного союза и территорию третьих стран».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