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02db" w14:textId="5280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внесения изменений в нормативные технические документы,
действующие в качестве единых на таможенной территории Таможенного союза для целей определения классификационных и стоимостных характеристик драгоценных камней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мая 2012 года № 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изменений в нормативные технические документы, действующие в качестве единых на таможенной территории Таможенного союза для целей определения классификационных и стоимостных характеристик драгоценных камней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тридцати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мая 2012 г. № 42      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внесения изменений в нормативные технические документы,</w:t>
      </w:r>
      <w:r>
        <w:br/>
      </w:r>
      <w:r>
        <w:rPr>
          <w:rFonts w:ascii="Times New Roman"/>
          <w:b/>
          <w:i w:val="false"/>
          <w:color w:val="000000"/>
        </w:rPr>
        <w:t>
действующие в качестве единых на таможенной территории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для целей определения классификационных и</w:t>
      </w:r>
      <w:r>
        <w:br/>
      </w:r>
      <w:r>
        <w:rPr>
          <w:rFonts w:ascii="Times New Roman"/>
          <w:b/>
          <w:i w:val="false"/>
          <w:color w:val="000000"/>
        </w:rPr>
        <w:t>
стоимостных характеристик драгоценных камней 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внесения изменений в нормативные технические документы, действующие в качестве единых на таможенной территории Таможенного союза для целей определения классификационных и стоимостных характеристик драгоценных камней (далее - Порядок),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22 июня 2011 г. № 723.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финансов Российской Федерации (далее - Минфин России) осуществляет постоянный мониторинг цен мирового рынка на драгоценные камни для целей своевременного внесения предложений по изменению прейскурантов, указанных в Перечне нормативных технических документов, действующих в качестве единых на таможенной территории Таможенного союза для целей определения классификационных и стоимостных характеристик драгоценных камней (далее – Перечень, нормативные технические документы).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основании данных мониторинга Минфин России направляет министерству каждого государства – члена Таможенного союза, ответственному за проведение государственной политики в области производства, использования и обращения драгоценных металлов и драгоценных камней (далее - Министерство), предложения с технико-экономическим обоснованием целесообразности принятия решения по внесению изменений в прейскуранты (далее – предложения):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необработанные природные алмазы и бриллианты - ежеквартально (не позднее 20-го числа месяца, следующего за отчетным);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необработанные и обработанные сапфиры, рубины, изумруды, александриты - раз в полугодие (не позднее 20-го числа месяца, следующего за отчетным). Настоящий абзац в части сапфиров и рубинов вступает в силу после разработки и включении соответствующих прейскурантов в Перечень.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Министерства, в установленном ими порядке, в 10 - дневный срок с даты получения предложений рассматривают их и сообщают свое мнение Минфину России.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согласия всех Министерств принимается решение о внесении изменений в прейскуранты на драгоценные камни, которое оформляется в виде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протокола подготавливается Минфином России и направляется в Министерства для подписания. Протокол подписывается заместителем руководителя каждого Министерства в течении 5-ти дней с даты отправления.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протокола всеми Министерствами Минфин России направляет соответствующий комплект документов и материалов в Евразийскую экономическую комиссию для рассмотрения в соответствии с Регламентом работы Евразийской экономической комиссии,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18 ноября 2011 г. №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несогласия Министерства (Министерств) с предложениями Минфина России это Министерство (Министерства) направляет (направляют) свои предложения о внесении изменений в прейскуранты другим Министерствам.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Предложения, указанные в пункте 6 Порядка, рассматриваются Министерствами в 10-дневный срок с даты их получения. По итогам рассмотрения предложений Минфином России проводится согласительное совещание представителей Министерств, на котором вырабатывается согласованное решение по представленным предложениям.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Согласительное совещание может проводиться в режиме видеоконференции.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решения о внесении изменений в прейскуранты Минфин России готовит протокол в соответствии с пунктом 5 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отклонения предложений о внесении изменений в прейскуранты протокол совещания с разногласиями подписывается представителями Министерств.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внесения изменений в нормативные технические документы (за исключением прейскурантов) любое из Министерств в любое время направляет свои предложения другим Министерствам с технико-экономическим обоснованием целесообразности принятия такого решения. Рассмотрение предложений осуществляется в порядке, аналогичном установленному пунктами 4 - 7 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Документооборот по вопросам внесения изменений в нормативные технические документы осуществляется с использованием электронной и факсимильной связи.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