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b985" w14:textId="950b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формирования перечней международных и региональных (межгосударственных) стандартов, а в случае их отсутствия – национальных (государственных) стандартов, обеспечивающих соблюдение требований технического регламента Таможенного союза и необходимых для осуществления оценки (подтверждения) соответствия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мая 2012 года № 57. Утратило силу решением Коллегии Евразийской экономической комиссии от 25 декабря 2012 года № 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25.12.2012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перечней международных и региональных (межгосударственных) стандартов, а в случае их отсутствия – национальных (государственных) стандартов, обеспечивающих соблюдение требований технического регламента Таможенного союза и необходимых для осуществления оценки (подтверждения) соответствия, утвержденное Решением Комиссии Таможенного союза от 7 апреля 2011 года № 629,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№ 57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порядке формирования перечней международных и</w:t>
      </w:r>
      <w:r>
        <w:br/>
      </w:r>
      <w:r>
        <w:rPr>
          <w:rFonts w:ascii="Times New Roman"/>
          <w:b/>
          <w:i w:val="false"/>
          <w:color w:val="000000"/>
        </w:rPr>
        <w:t>
региональных (межгосударственных) стандартов, а в случае их</w:t>
      </w:r>
      <w:r>
        <w:br/>
      </w:r>
      <w:r>
        <w:rPr>
          <w:rFonts w:ascii="Times New Roman"/>
          <w:b/>
          <w:i w:val="false"/>
          <w:color w:val="000000"/>
        </w:rPr>
        <w:t>
отсутствия – национальных (государственных) стандартов,</w:t>
      </w:r>
      <w:r>
        <w:br/>
      </w:r>
      <w:r>
        <w:rPr>
          <w:rFonts w:ascii="Times New Roman"/>
          <w:b/>
          <w:i w:val="false"/>
          <w:color w:val="000000"/>
        </w:rPr>
        <w:t>
обеспечивающих соблюдение требований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необходимых для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 xml:space="preserve">
(подтверждения) соответствия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перечней международных и региональных (межгосударственных) стандартов, а в случае их отсутствия – национальных (государственных) стандартов, обеспечивающих соблюдение требований технического регламента Таможенного союза и необходимых для осуществления оценки (подтверждения) соответствия (далее – Положение), утвержденное решением Комиссии Таможенного союза от 7 апреля 2011 года № 629,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«Участниками процедур, предусмотренных настоящим Положением,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 по техническому регулированию - наделенные полномочиями национальные органы Сторон, осуществляющие и (или) координирующие работы по техническому регулированию;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 по стандартизации - национальные органы Сторон по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разработчики проектов технических регламентов Таможенного союза - органы Сторон, ответственные за разработку технических регламентов Таможенного союза, или юридические лица Сторон, ответственные за разработку технических регламентов Таможенного союза и определенные Комиссией на основе результатов конкурса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органы, участвующие в разработке - заинтересованные органы Сторон, участвующие в разработке проектов технических регламентов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Евразийская экономическая комиссия (далее - Комиссия)»;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«Проекты перечней международных и региональных (межгосударственных) стандартов, а в случае их отсутствия - национальных (государственных) стандартов, обеспечивающих соблюдение требований технического регламента Таможенного союза и необходимых для осуществления оценки (подтверждения) соответствия (далее – проекты Перечней) разрабатываются в соответствии с Положением о порядке разработки, принятия, внесения изменений и отмены технического регламента Таможенного союза, утвержденным Евразийской экономической комиссией».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Одновременно с разработкой первой редакции проекта технического регламента Таможенного союза разработчик проекта технического регламента с учетом предложений органов, участвующих в разработке проекта технического регламента, органов по техническому регулированию и органов по стандартизации обеспечивает разработку проектов Перечней стандартов по формам, установленным в Приложении 1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Перечни стандартов могут включаться международные и региональные (межгосударственные стандарты - ГОСТ), а в случае их отсутствия национальные (государственные) стандарты Сторон, в результате применения которых на добровольной основе обеспечивается соблюдение требований технического регламента Таможенного союза, и (или) содержащие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и осуществления оценки (подтверждения) соответствия продукции, для применения которых в вышеуказанных целях может предусматриваться переходный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проекте Перечня указывают стандарты в последовательности, приведенной в Приложении 2 к настоящему Положению, для каждого требования технического регламента Таможенного союза с указанием обозначения конкретных элементов технического регламента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для осуществления оценки (подтверждения) соответствия продукции на соответствие требованиям технического регламента Таможенного союза применяются отдельные разделы (пункты, подпункты) стандарта, а не стандарт в целом, то в графе 3 проекта Перечня приводится обозначение данных разделов (пунктов, подпунктов).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проектами Перечней стандартов разработчик проекта технического регламента Таможенного союза готовит предложения по их актуализации на основании результатов мониторинга разработки соответствующих межгосударственных стандартов по форме 3, установленной в Приложении 3 к настоящему Положению.3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проекта технического регламента Таможенного союза готовит информацию о методах исследований (испытаний), необходимых для применения и исполнения требований технического регламента Таможенного союза и осуществления оценки (подтверждения) соответствия продукции, и представляет указанную информацию в приложении к пояснительной записке к Перечням стандартов по форме, приведенной в Приложении 4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к проектам Перечней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краткую характеристику включенных в проект Перечня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соответствии стандартов, включенных в проект Перечня, международным и региональным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включения в проект Перечня национальных (государственных) стандартов государств – членов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разработке подтверждающих соответствие техническому регламенту Таможенного союза межгосударственных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актуализации межгосударственных стандартов, включенных в проект Перечня;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актуализации методов измерений (испытаний) для оценки соответствия единым санитарно-эпидемиологическим и гигиеническим требованиям к товарам, подлежащим санитарно-эпидемиологическому надзору (контролю);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иную информацию.».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 разработке проектов Перечней стандартов разработчик проекта технического регламента Таможенного союза:».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«Проект Перечня» заменить словами «Проекты Перечней».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Перечень, утвержденный решением Коллегии Комиссии, а также изменения, внесенные в Перечень, публикуются на официальном сайте Евразийской экономической комиссии».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«Органы Сторон по стандартизации» заменить словами «Органы по стандартизации Сторон».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«13. Стороны обеспечивают подготовку предложений по актуализации Перечней стандартов не реже одного раза в год на основании мониторинга и результатов применения стандартов, содержащихся в Перечнях стандартов, и представление указанных предложений в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Комиссии на основании предложений Сторон, подготовленных по результатам мониторинга применения стандартов, обеспечивает актуализацию Перечней стандартов.».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изложить в редакции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Дополнить Положение Приложением 3 в редакции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Дополнить Положение Приложением 4 в редакции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Положения.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Перечней стандартов, применяемых для целей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1</w:t>
      </w:r>
      <w:r>
        <w:br/>
      </w:r>
      <w:r>
        <w:rPr>
          <w:rFonts w:ascii="Times New Roman"/>
          <w:b/>
          <w:i w:val="false"/>
          <w:color w:val="000000"/>
        </w:rPr>
        <w:t>
Перечень стандартов, обеспечивающих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2524"/>
        <w:gridCol w:w="3968"/>
        <w:gridCol w:w="2623"/>
        <w:gridCol w:w="2623"/>
      </w:tblGrid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изменении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стандарта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окончания применения стандарта </w:t>
            </w:r>
          </w:p>
        </w:tc>
      </w:tr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n…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2</w:t>
      </w:r>
      <w:r>
        <w:br/>
      </w:r>
      <w:r>
        <w:rPr>
          <w:rFonts w:ascii="Times New Roman"/>
          <w:b/>
          <w:i w:val="false"/>
          <w:color w:val="000000"/>
        </w:rPr>
        <w:t>
Перечень стандартов, необходимых для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(подтверждения) соответствия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2651"/>
        <w:gridCol w:w="3861"/>
        <w:gridCol w:w="2631"/>
        <w:gridCol w:w="2632"/>
      </w:tblGrid>
      <w:tr>
        <w:trPr>
          <w:trHeight w:val="5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изменении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</w:t>
            </w:r>
          </w:p>
        </w:tc>
      </w:tr>
      <w:tr>
        <w:trPr>
          <w:trHeight w:val="5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n…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3</w:t>
      </w:r>
      <w:r>
        <w:br/>
      </w:r>
      <w:r>
        <w:rPr>
          <w:rFonts w:ascii="Times New Roman"/>
          <w:b/>
          <w:i w:val="false"/>
          <w:color w:val="000000"/>
        </w:rPr>
        <w:t>
Предложения по актуализации Перечней стандартов, обеспечивающих</w:t>
      </w:r>
      <w:r>
        <w:br/>
      </w:r>
      <w:r>
        <w:rPr>
          <w:rFonts w:ascii="Times New Roman"/>
          <w:b/>
          <w:i w:val="false"/>
          <w:color w:val="000000"/>
        </w:rPr>
        <w:t>
соблюдение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(подтверждения) соответствия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2052"/>
        <w:gridCol w:w="2472"/>
        <w:gridCol w:w="1880"/>
        <w:gridCol w:w="1880"/>
        <w:gridCol w:w="1880"/>
        <w:gridCol w:w="1880"/>
      </w:tblGrid>
      <w:tr>
        <w:trPr>
          <w:trHeight w:val="7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изменении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</w:t>
            </w:r>
          </w:p>
        </w:tc>
      </w:tr>
      <w:tr>
        <w:trPr>
          <w:trHeight w:val="15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графах 3 и 4 приводят обозначения разделов (пунктов, подпунктов) стандарта, если для целей технического регламента Таможенного союза применяются отдельные разделы (пункты, подпункты) стандарта, а не стандарт в целом, наименование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5 приводят дату окончания применения заменяемого стандарта, если для применения стандарта, его разделов (пунктов, подпунктов), предусматривается переходный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графе 7 приводят дату начала применения заменяющего стандарта (число – двумя арабскими цифрами, месяц – двумя арабскими цифрами, год – четырьмя арабскими цифрами).</w:t>
      </w:r>
    </w:p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 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методах исследований (испытаний)</w:t>
      </w:r>
      <w:r>
        <w:br/>
      </w:r>
      <w:r>
        <w:rPr>
          <w:rFonts w:ascii="Times New Roman"/>
          <w:b/>
          <w:i w:val="false"/>
          <w:color w:val="000000"/>
        </w:rPr>
        <w:t>
обязательных требований к продукции, установленных техническим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регламентом Таможенного союза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2447"/>
        <w:gridCol w:w="1753"/>
        <w:gridCol w:w="2885"/>
        <w:gridCol w:w="2936"/>
        <w:gridCol w:w="2207"/>
      </w:tblGrid>
      <w:tr>
        <w:trPr>
          <w:trHeight w:val="70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(ГОСТ,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СТБ, и т.д.)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 (предел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наличии)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(валидации)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стандарте</w:t>
            </w:r>
          </w:p>
        </w:tc>
      </w:tr>
      <w:tr>
        <w:trPr>
          <w:trHeight w:val="1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