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90e2" w14:textId="1ea9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в отношении продукции, для которой в 2012 году вступают в силу технические регламенты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620, главы 8, 9, 14, 15, 18, 23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