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b7b2" w14:textId="0e5b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2012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__________2012 г.                 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Положение о Едином порядке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контроля на таможенной границе Таможенного союза и на таможенной территории Таможенного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413"/>
        <w:gridCol w:w="349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 201 г. № ___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Едином порядке осуществления ветеринарного</w:t>
      </w:r>
      <w:r>
        <w:br/>
      </w:r>
      <w:r>
        <w:rPr>
          <w:rFonts w:ascii="Times New Roman"/>
          <w:b/>
          <w:i w:val="false"/>
          <w:color w:val="000000"/>
        </w:rPr>
        <w:t>
контроля на таможенной границе Таможенного союза и на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6.12.3.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«6.12.3. При ввозе на таможенную территорию Таможенного союза подконтрольного товара морским транспортом процедура ветеринарного контроля в отношении мяса (говядина, свинина, баранина, конина, мясо птицы) и рыбы осуществляется только после получения предварительного уведомления о выдаче ветеринарного сертификата на соответствующий груз по форме согласно Приложению № 8, направленного компетентным органом страны-экспортера уполномоченным органам Сторон посредством электронной почты, заполнения соответствующей веб-формы или иным способом, согласованным компетентным органом страны-экспортера и уполномоченным органом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Приложении № 8 «Предварительное уведомление о подконтрольных товарах, поставляемых на территорию таможенного союза морским транспортом» слова «(сертификата качества и безопасности для кормовых добавок микробиологического и химического синтеза, лекарственных средств)»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