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bfd5" w14:textId="fe8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нормативные правовые акты Таможенного союза в области нетарифного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2012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 «О нормативных правовых актах в области нетарифного регулирования», изменения, дополнив его следующими разделами: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2.28 «Товары, в отношении которых государствами – членами Таможенного союза применяются ограничения в соответствии с обязательствами, принятыми при присоединении к Всемирной торговой организации»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2.29 «Товары, в отношении которых государствами – членами Таможенного союза применяется лицензирование импорта на основании решений об установлении импортной квоты в качестве специальной защитной меры»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168 «Об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 Т.Д. Валовая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2012 г. № 169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2.28. ТОВАРЫ, В ОТНОШЕНИИ КОТОРЫХ ГОСУДАРСТВАМИ – ЧЛЕНАМИ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ПРИМЕНЯЮТСЯ ОГРАНИЧЕНИЯ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ОБЯЗАТЕЛЬСТВАМИ, ПРИНЯТЫМИ ПРИ ПРИСОЕДИНЕНИИ К ВСЕМИРНОЙ</w:t>
      </w:r>
      <w:r>
        <w:br/>
      </w:r>
      <w:r>
        <w:rPr>
          <w:rFonts w:ascii="Times New Roman"/>
          <w:b/>
          <w:i w:val="false"/>
          <w:color w:val="000000"/>
        </w:rPr>
        <w:t>
ТОРГОВОЙ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3"/>
        <w:gridCol w:w="3253"/>
      </w:tblGrid>
      <w:tr>
        <w:trPr>
          <w:trHeight w:val="30" w:hRule="atLeast"/>
        </w:trPr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обыкновенная «Picea abies Karst.» и пихта белая европейская (Abies alba Mill.)*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4403 20 110 1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4403 20 110 2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4403 20 190 1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4403 20 190 9</w:t>
            </w:r>
          </w:p>
        </w:tc>
      </w:tr>
      <w:tr>
        <w:trPr>
          <w:trHeight w:val="30" w:hRule="atLeast"/>
        </w:trPr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обыкновенная вида «Pinus sylvestris L.»*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4403 20 310 1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4403 20 310 2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4403 20 390 1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4403 20 390 9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Применяется в отношении товаров, происходящих из государства –члена Таможенного союза, устанавливающего тарифную квоту на экспорт в соответствии с обязательствами, принятыми при присоединении к Всемирной торговой организации, в порядке, установленном законодательством данного государства.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2012 г. № 169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2.29. ТОВАРЫ, В ОТНОШЕНИИ КОТОРЫХ ГОСУДАРСТВАМИ – ЧЛЕНАМИ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ПРИМЕНЯЕТСЯ ЛИЦЕНЗИРОВАНИЕ ИМПОРТА НА</w:t>
      </w:r>
      <w:r>
        <w:br/>
      </w:r>
      <w:r>
        <w:rPr>
          <w:rFonts w:ascii="Times New Roman"/>
          <w:b/>
          <w:i w:val="false"/>
          <w:color w:val="000000"/>
        </w:rPr>
        <w:t>
ОСНОВАНИИ РЕШЕНИЙ ОБ УСТАНОВЛЕНИИ ИМПОРТНОЙ КВОТЫ В КАЧЕСТВЕ</w:t>
      </w:r>
      <w:r>
        <w:br/>
      </w:r>
      <w:r>
        <w:rPr>
          <w:rFonts w:ascii="Times New Roman"/>
          <w:b/>
          <w:i w:val="false"/>
          <w:color w:val="000000"/>
        </w:rPr>
        <w:t>
СПЕЦИАЛЬНОЙ ЗАЩИТНОЙ МЕРЫ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3"/>
        <w:gridCol w:w="3253"/>
      </w:tblGrid>
      <w:tr>
        <w:trPr>
          <w:trHeight w:val="30" w:hRule="atLeast"/>
        </w:trPr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9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из коррозионностойкой стали наружным диаметром до 426 мм включительно*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7304 41 000 9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7304 49 100 0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7304 49 990 0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7306 11 100 0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7306 11 900 0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7306 40 200 1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7306 40 200 9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7306 40 800 9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*Порядок применения и срок действия импортной квоты определены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августа 2012 г. № 143 «О мерах по защите экономических интересов производителей нержавеющих труб в Таможенном союзе».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2012 г. № 169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Решение Комиссии Таможенного союза от 27</w:t>
      </w:r>
      <w:r>
        <w:br/>
      </w:r>
      <w:r>
        <w:rPr>
          <w:rFonts w:ascii="Times New Roman"/>
          <w:b/>
          <w:i w:val="false"/>
          <w:color w:val="000000"/>
        </w:rPr>
        <w:t>
января 2010 г. № 168 «Об обеспечении функционирования единой</w:t>
      </w:r>
      <w:r>
        <w:br/>
      </w:r>
      <w:r>
        <w:rPr>
          <w:rFonts w:ascii="Times New Roman"/>
          <w:b/>
          <w:i w:val="false"/>
          <w:color w:val="000000"/>
        </w:rPr>
        <w:t>
системы нетарифного регулирования Таможенного союза Республики</w:t>
      </w:r>
      <w:r>
        <w:br/>
      </w:r>
      <w:r>
        <w:rPr>
          <w:rFonts w:ascii="Times New Roman"/>
          <w:b/>
          <w:i w:val="false"/>
          <w:color w:val="000000"/>
        </w:rPr>
        <w:t>
Беларусь, Республики Казахстан и Российской Федерации»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«2.10» дополнить цифрами «2.24».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строки с номером списка (категории) товара 23 дополнить строкой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53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при экспорте и (или) импорте которых установлены количественные ограничения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строками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9613"/>
      </w:tblGrid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в отношении которых государствами – членами Таможенного союза применяются ограничения в соответствии с обязательствами, принятыми при присоединении к Всемирной торговой организации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в отношении которых государствами – членами Таможенного союза применяется лицензирование импорта на основании решений об установлении импортной квоты в качестве специальной защитной меры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