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0fcb" w14:textId="ce70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вышивок из химических нитей и трикотажных полотен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установлении ставок ввозных таможенных пошлин Единого таможенного тарифа Таможенного союза в отношении отдельных видов вышивок из химических нитей и трикотажных полотен» (прилагается) и внести его для рассмотрения на очередном заседании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613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_______2012 г.            №                 г. Москва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ставок 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
Единого таможенного тарифа Таможенного союза в</w:t>
      </w:r>
      <w:r>
        <w:br/>
      </w:r>
      <w:r>
        <w:rPr>
          <w:rFonts w:ascii="Times New Roman"/>
          <w:b/>
          <w:i w:val="false"/>
          <w:color w:val="000000"/>
        </w:rPr>
        <w:t>
отношении отдельных видов вышивок из химических нитей и</w:t>
      </w:r>
      <w:r>
        <w:br/>
      </w:r>
      <w:r>
        <w:rPr>
          <w:rFonts w:ascii="Times New Roman"/>
          <w:b/>
          <w:i w:val="false"/>
          <w:color w:val="000000"/>
        </w:rPr>
        <w:t>
трикотажных полотен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вышивок из химических нитей и трикотажных полотен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393"/>
        <w:gridCol w:w="347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____________№ ____________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7193"/>
        <w:gridCol w:w="285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5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5810 92 100 0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–––ценой более 17,50 евро/кг (нетто-масса)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5810 92 900 0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6002 40 000 0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–содержащие 5 мас.% или более эластомерных нитей, но не содержащие резиновых нитей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6003 30 100 0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––кружево основовязаное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6004 10 000 0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–содержащие 5 мас.% или более эластомерных нитей, но не содержащие резиновых нитей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6005 32 500 0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–––кружево основовязаное, кроме полотна для гардин или полотна для тюлевых занавесей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