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2a10" w14:textId="3a12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введения в действие технического регламента Таможенного союза "О безопасности маломерных судов" (ТР ТС 026/2012)</w:t>
      </w:r>
    </w:p>
    <w:p>
      <w:pPr>
        <w:spacing w:after="0"/>
        <w:ind w:left="0"/>
        <w:jc w:val="both"/>
      </w:pPr>
      <w:r>
        <w:rPr>
          <w:rFonts w:ascii="Times New Roman"/>
          <w:b w:val="false"/>
          <w:i w:val="false"/>
          <w:color w:val="000000"/>
          <w:sz w:val="28"/>
        </w:rPr>
        <w:t>Решение Коллегии Евразийской экономической комиссии от 18 октября 2012 года № 190.</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решением Коллегии Евразийской экономической комиссии от 03.12.2019 </w:t>
      </w:r>
      <w:r>
        <w:rPr>
          <w:rFonts w:ascii="Times New Roman"/>
          <w:b w:val="false"/>
          <w:i w:val="false"/>
          <w:color w:val="000000"/>
          <w:sz w:val="28"/>
        </w:rPr>
        <w:t>№ 212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Установить:</w:t>
      </w:r>
    </w:p>
    <w:bookmarkEnd w:id="1"/>
    <w:bookmarkStart w:name="z6" w:id="2"/>
    <w:p>
      <w:pPr>
        <w:spacing w:after="0"/>
        <w:ind w:left="0"/>
        <w:jc w:val="both"/>
      </w:pPr>
      <w:r>
        <w:rPr>
          <w:rFonts w:ascii="Times New Roman"/>
          <w:b w:val="false"/>
          <w:i w:val="false"/>
          <w:color w:val="000000"/>
          <w:sz w:val="28"/>
        </w:rPr>
        <w:t xml:space="preserve">
      2.1. Документы об оценке (подтверждении) соответствия обязательным требованиям, установленным нормативными правовыми актами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выданные или принятые в отношении продукции, являющейся объектом технического регулирования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маломерных судов" (далее соответственно – продукция, Технический регламент), до дня вступления в силу Технического регламента, действительны до окончания срока их действия, но не позднее 31 июля 2015 года, за исключением таких документов, выданных или принятых до дня официального опубликования настоящего Решения, которые действительны до окончания срока их действия.</w:t>
      </w:r>
    </w:p>
    <w:bookmarkEnd w:id="2"/>
    <w:bookmarkStart w:name="z7" w:id="3"/>
    <w:p>
      <w:pPr>
        <w:spacing w:after="0"/>
        <w:ind w:left="0"/>
        <w:jc w:val="both"/>
      </w:pP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не допускается.</w:t>
      </w:r>
    </w:p>
    <w:bookmarkEnd w:id="3"/>
    <w:bookmarkStart w:name="z8" w:id="4"/>
    <w:p>
      <w:pPr>
        <w:spacing w:after="0"/>
        <w:ind w:left="0"/>
        <w:jc w:val="both"/>
      </w:pPr>
      <w:r>
        <w:rPr>
          <w:rFonts w:ascii="Times New Roman"/>
          <w:b w:val="false"/>
          <w:i w:val="false"/>
          <w:color w:val="000000"/>
          <w:sz w:val="28"/>
        </w:rPr>
        <w:t>
      2.2. До 31 июля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bookmarkEnd w:id="4"/>
    <w:bookmarkStart w:name="z9" w:id="5"/>
    <w:p>
      <w:pPr>
        <w:spacing w:after="0"/>
        <w:ind w:left="0"/>
        <w:jc w:val="both"/>
      </w:pPr>
      <w:r>
        <w:rPr>
          <w:rFonts w:ascii="Times New Roman"/>
          <w:b w:val="false"/>
          <w:i w:val="false"/>
          <w:color w:val="000000"/>
          <w:sz w:val="28"/>
        </w:rPr>
        <w:t xml:space="preserve">
      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или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386.</w:t>
      </w:r>
    </w:p>
    <w:bookmarkEnd w:id="5"/>
    <w:bookmarkStart w:name="z10" w:id="6"/>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p>
    <w:bookmarkEnd w:id="6"/>
    <w:bookmarkStart w:name="z11" w:id="7"/>
    <w:p>
      <w:pPr>
        <w:spacing w:after="0"/>
        <w:ind w:left="0"/>
        <w:jc w:val="both"/>
      </w:pPr>
      <w:r>
        <w:rPr>
          <w:rFonts w:ascii="Times New Roman"/>
          <w:b w:val="false"/>
          <w:i w:val="false"/>
          <w:color w:val="000000"/>
          <w:sz w:val="28"/>
        </w:rPr>
        <w:t>
      2.3. До 1 ноября 2014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согласно нормативным правовым актам Таможенного союза или законодательству государства – члена Таможенного союза, без документов об обязательной оценке (подтверждении) соответствия продукции и без маркировки национальным знаком соответствия (знаком обращения на рынке).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решением Евразийской экономической комиссии от 13.05.2014 </w:t>
      </w:r>
      <w:r>
        <w:rPr>
          <w:rFonts w:ascii="Times New Roman"/>
          <w:b w:val="false"/>
          <w:i w:val="false"/>
          <w:color w:val="000000"/>
          <w:sz w:val="28"/>
        </w:rPr>
        <w:t>№ 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2.4. Обращение продукции, выпущенной в обращение в период действия документов об оценке (подтверждении) соответствия, указанных в </w:t>
      </w:r>
      <w:r>
        <w:rPr>
          <w:rFonts w:ascii="Times New Roman"/>
          <w:b w:val="false"/>
          <w:i w:val="false"/>
          <w:color w:val="000000"/>
          <w:sz w:val="28"/>
        </w:rPr>
        <w:t>подпункте 2.1</w:t>
      </w:r>
      <w:r>
        <w:rPr>
          <w:rFonts w:ascii="Times New Roman"/>
          <w:b w:val="false"/>
          <w:i w:val="false"/>
          <w:color w:val="000000"/>
          <w:sz w:val="28"/>
        </w:rPr>
        <w:t xml:space="preserve"> настоящего Решения, а также продукции, указанной в </w:t>
      </w:r>
      <w:r>
        <w:rPr>
          <w:rFonts w:ascii="Times New Roman"/>
          <w:b w:val="false"/>
          <w:i w:val="false"/>
          <w:color w:val="000000"/>
          <w:sz w:val="28"/>
        </w:rPr>
        <w:t>подпункте 2.3</w:t>
      </w:r>
      <w:r>
        <w:rPr>
          <w:rFonts w:ascii="Times New Roman"/>
          <w:b w:val="false"/>
          <w:i w:val="false"/>
          <w:color w:val="000000"/>
          <w:sz w:val="28"/>
        </w:rPr>
        <w:t xml:space="preserve"> настоящего Решения, допускается в течение срока службы продукции, установленного в соответствии с законодательством государства – члена Таможенного союза.</w:t>
      </w:r>
    </w:p>
    <w:bookmarkEnd w:id="8"/>
    <w:bookmarkStart w:name="z13" w:id="9"/>
    <w:p>
      <w:pPr>
        <w:spacing w:after="0"/>
        <w:ind w:left="0"/>
        <w:jc w:val="both"/>
      </w:pPr>
      <w:r>
        <w:rPr>
          <w:rFonts w:ascii="Times New Roman"/>
          <w:b w:val="false"/>
          <w:i w:val="false"/>
          <w:color w:val="000000"/>
          <w:sz w:val="28"/>
        </w:rPr>
        <w:t>
      3. Члену Коллегии (Министру) по вопросам технического регулирования Корешкову В.Н.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Коллегии Евразийской экономической комиссии в установленном порядке.</w:t>
      </w:r>
    </w:p>
    <w:bookmarkEnd w:id="9"/>
    <w:bookmarkStart w:name="z14" w:id="10"/>
    <w:p>
      <w:pPr>
        <w:spacing w:after="0"/>
        <w:ind w:left="0"/>
        <w:jc w:val="both"/>
      </w:pPr>
      <w:r>
        <w:rPr>
          <w:rFonts w:ascii="Times New Roman"/>
          <w:b w:val="false"/>
          <w:i w:val="false"/>
          <w:color w:val="000000"/>
          <w:sz w:val="28"/>
        </w:rPr>
        <w:t>
      4. Сторонам:</w:t>
      </w:r>
    </w:p>
    <w:bookmarkEnd w:id="10"/>
    <w:bookmarkStart w:name="z15" w:id="11"/>
    <w:p>
      <w:pPr>
        <w:spacing w:after="0"/>
        <w:ind w:left="0"/>
        <w:jc w:val="both"/>
      </w:pPr>
      <w:r>
        <w:rPr>
          <w:rFonts w:ascii="Times New Roman"/>
          <w:b w:val="false"/>
          <w:i w:val="false"/>
          <w:color w:val="000000"/>
          <w:sz w:val="28"/>
        </w:rPr>
        <w:t>
      4.1. До дня вступления в силу Технического регламента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Коллегию Евразийской экономической комиссии.</w:t>
      </w:r>
    </w:p>
    <w:bookmarkEnd w:id="11"/>
    <w:bookmarkStart w:name="z16" w:id="12"/>
    <w:p>
      <w:pPr>
        <w:spacing w:after="0"/>
        <w:ind w:left="0"/>
        <w:jc w:val="both"/>
      </w:pPr>
      <w:r>
        <w:rPr>
          <w:rFonts w:ascii="Times New Roman"/>
          <w:b w:val="false"/>
          <w:i w:val="false"/>
          <w:color w:val="000000"/>
          <w:sz w:val="28"/>
        </w:rPr>
        <w:t xml:space="preserve">
      4.2.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w:t>
      </w:r>
      <w:r>
        <w:rPr>
          <w:rFonts w:ascii="Times New Roman"/>
          <w:b w:val="false"/>
          <w:i w:val="false"/>
          <w:color w:val="000000"/>
          <w:sz w:val="28"/>
        </w:rPr>
        <w:t>пункта 2</w:t>
      </w:r>
      <w:r>
        <w:rPr>
          <w:rFonts w:ascii="Times New Roman"/>
          <w:b w:val="false"/>
          <w:i w:val="false"/>
          <w:color w:val="000000"/>
          <w:sz w:val="28"/>
        </w:rPr>
        <w:t xml:space="preserve"> настоящего Решения.</w:t>
      </w:r>
    </w:p>
    <w:bookmarkEnd w:id="12"/>
    <w:bookmarkStart w:name="z17" w:id="13"/>
    <w:p>
      <w:pPr>
        <w:spacing w:after="0"/>
        <w:ind w:left="0"/>
        <w:jc w:val="both"/>
      </w:pPr>
      <w:r>
        <w:rPr>
          <w:rFonts w:ascii="Times New Roman"/>
          <w:b w:val="false"/>
          <w:i w:val="false"/>
          <w:color w:val="000000"/>
          <w:sz w:val="28"/>
        </w:rPr>
        <w:t xml:space="preserve">
      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и их представление не реже одного раза в год со дня вступления в силу Технического регламента для рассмотрения на заседании Коллегии Евразийской экономической комиссии. </w:t>
      </w:r>
    </w:p>
    <w:bookmarkEnd w:id="13"/>
    <w:bookmarkStart w:name="z18" w:id="14"/>
    <w:p>
      <w:pPr>
        <w:spacing w:after="0"/>
        <w:ind w:left="0"/>
        <w:jc w:val="both"/>
      </w:pPr>
      <w:r>
        <w:rPr>
          <w:rFonts w:ascii="Times New Roman"/>
          <w:b w:val="false"/>
          <w:i w:val="false"/>
          <w:color w:val="000000"/>
          <w:sz w:val="28"/>
        </w:rPr>
        <w:t>
      6. Настоящее Решение вступает в силу по истечении тридцати календарных дней с даты его официального опубликования.</w:t>
      </w:r>
    </w:p>
    <w:bookmarkEnd w:id="14"/>
    <w:tbl>
      <w:tblPr>
        <w:tblW w:w="0" w:type="auto"/>
        <w:tblCellSpacing w:w="0" w:type="auto"/>
        <w:tblBorders>
          <w:top w:val="none"/>
          <w:left w:val="none"/>
          <w:bottom w:val="none"/>
          <w:right w:val="none"/>
          <w:insideH w:val="none"/>
          <w:insideV w:val="none"/>
        </w:tblBorders>
      </w:tblPr>
      <w:tblGrid>
        <w:gridCol w:w="2972"/>
        <w:gridCol w:w="9328"/>
      </w:tblGrid>
      <w:tr>
        <w:trPr>
          <w:trHeight w:val="30" w:hRule="atLeast"/>
        </w:trPr>
        <w:tc>
          <w:tcPr>
            <w:tcW w:w="2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9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октября 2012 года № 190</w:t>
            </w:r>
          </w:p>
        </w:tc>
      </w:tr>
    </w:tbl>
    <w:bookmarkStart w:name="z19" w:id="15"/>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в результате применения которых</w:t>
      </w:r>
      <w:r>
        <w:br/>
      </w:r>
      <w:r>
        <w:rPr>
          <w:rFonts w:ascii="Times New Roman"/>
          <w:b/>
          <w:i w:val="false"/>
          <w:color w:val="000000"/>
        </w:rPr>
        <w:t>на добровольной основе обеспечивается соблюдение</w:t>
      </w:r>
      <w:r>
        <w:br/>
      </w:r>
      <w:r>
        <w:rPr>
          <w:rFonts w:ascii="Times New Roman"/>
          <w:b/>
          <w:i w:val="false"/>
          <w:color w:val="000000"/>
        </w:rPr>
        <w:t>требований технического регламента Таможенного союза</w:t>
      </w:r>
      <w:r>
        <w:br/>
      </w:r>
      <w:r>
        <w:rPr>
          <w:rFonts w:ascii="Times New Roman"/>
          <w:b/>
          <w:i w:val="false"/>
          <w:color w:val="000000"/>
        </w:rPr>
        <w:t>"О безопасности маломерных судов" (ТР ТС 026/2012)</w:t>
      </w:r>
    </w:p>
    <w:bookmarkEnd w:id="15"/>
    <w:p>
      <w:pPr>
        <w:spacing w:after="0"/>
        <w:ind w:left="0"/>
        <w:jc w:val="both"/>
      </w:pPr>
      <w:r>
        <w:rPr>
          <w:rFonts w:ascii="Times New Roman"/>
          <w:b w:val="false"/>
          <w:i w:val="false"/>
          <w:color w:val="ff0000"/>
          <w:sz w:val="28"/>
        </w:rPr>
        <w:t xml:space="preserve">
      Сноска. Перечень утратил силу решением Коллегии Евразийской экономической комиссии от 03.12.2019 </w:t>
      </w:r>
      <w:r>
        <w:rPr>
          <w:rFonts w:ascii="Times New Roman"/>
          <w:b w:val="false"/>
          <w:i w:val="false"/>
          <w:color w:val="ff0000"/>
          <w:sz w:val="28"/>
        </w:rPr>
        <w:t>№ 212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октября 2012 года № 190</w:t>
            </w:r>
          </w:p>
        </w:tc>
      </w:tr>
    </w:tbl>
    <w:bookmarkStart w:name="z20" w:id="16"/>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содержащих правила и методы исследований</w:t>
      </w:r>
      <w:r>
        <w:br/>
      </w:r>
      <w:r>
        <w:rPr>
          <w:rFonts w:ascii="Times New Roman"/>
          <w:b/>
          <w:i w:val="false"/>
          <w:color w:val="000000"/>
        </w:rPr>
        <w:t>(испытаний) и измерений, в том числе правила отбора</w:t>
      </w:r>
      <w:r>
        <w:br/>
      </w:r>
      <w:r>
        <w:rPr>
          <w:rFonts w:ascii="Times New Roman"/>
          <w:b/>
          <w:i w:val="false"/>
          <w:color w:val="000000"/>
        </w:rPr>
        <w:t>образцов, необходимые для применения и исполнения</w:t>
      </w:r>
      <w:r>
        <w:br/>
      </w:r>
      <w:r>
        <w:rPr>
          <w:rFonts w:ascii="Times New Roman"/>
          <w:b/>
          <w:i w:val="false"/>
          <w:color w:val="000000"/>
        </w:rPr>
        <w:t>требований технического регламента Таможенного союза</w:t>
      </w:r>
      <w:r>
        <w:br/>
      </w:r>
      <w:r>
        <w:rPr>
          <w:rFonts w:ascii="Times New Roman"/>
          <w:b/>
          <w:i w:val="false"/>
          <w:color w:val="000000"/>
        </w:rPr>
        <w:t>"О безопасности маломерных судов" (ТР ТС 026/2012) и</w:t>
      </w:r>
      <w:r>
        <w:br/>
      </w:r>
      <w:r>
        <w:rPr>
          <w:rFonts w:ascii="Times New Roman"/>
          <w:b/>
          <w:i w:val="false"/>
          <w:color w:val="000000"/>
        </w:rPr>
        <w:t>осуществления оценки (подтверждения) соответствия</w:t>
      </w:r>
      <w:r>
        <w:br/>
      </w:r>
      <w:r>
        <w:rPr>
          <w:rFonts w:ascii="Times New Roman"/>
          <w:b/>
          <w:i w:val="false"/>
          <w:color w:val="000000"/>
        </w:rPr>
        <w:t>продукции</w:t>
      </w:r>
    </w:p>
    <w:bookmarkEnd w:id="16"/>
    <w:p>
      <w:pPr>
        <w:spacing w:after="0"/>
        <w:ind w:left="0"/>
        <w:jc w:val="both"/>
      </w:pPr>
      <w:r>
        <w:rPr>
          <w:rFonts w:ascii="Times New Roman"/>
          <w:b w:val="false"/>
          <w:i w:val="false"/>
          <w:color w:val="ff0000"/>
          <w:sz w:val="28"/>
        </w:rPr>
        <w:t xml:space="preserve">
            Сноска. Перечень утратил силу решением Коллегии Евразийской экономической комиссии от 03.12.2019 </w:t>
      </w:r>
      <w:r>
        <w:rPr>
          <w:rFonts w:ascii="Times New Roman"/>
          <w:b w:val="false"/>
          <w:i w:val="false"/>
          <w:color w:val="ff0000"/>
          <w:sz w:val="28"/>
        </w:rPr>
        <w:t>№ 212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