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17583" w14:textId="f9175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Перечень чувствительных товаров, в отношении которых решение об изменении ставки ввозной таможенной пошлины Комиссия Таможенного союза принимает консенсусом</w:t>
      </w:r>
    </w:p>
    <w:p>
      <w:pPr>
        <w:spacing w:after="0"/>
        <w:ind w:left="0"/>
        <w:jc w:val="both"/>
      </w:pPr>
      <w:r>
        <w:rPr>
          <w:rFonts w:ascii="Times New Roman"/>
          <w:b w:val="false"/>
          <w:i w:val="false"/>
          <w:color w:val="000000"/>
          <w:sz w:val="28"/>
        </w:rPr>
        <w:t>Решение Коллегии Евразийской экономической комиссии от 25 октября 2012 года № 198</w:t>
      </w:r>
    </w:p>
    <w:p>
      <w:pPr>
        <w:spacing w:after="0"/>
        <w:ind w:left="0"/>
        <w:jc w:val="both"/>
      </w:pPr>
      <w:bookmarkStart w:name="z1" w:id="0"/>
      <w:r>
        <w:rPr>
          <w:rFonts w:ascii="Times New Roman"/>
          <w:b w:val="false"/>
          <w:i w:val="false"/>
          <w:color w:val="000000"/>
          <w:sz w:val="28"/>
        </w:rPr>
        <w:t>
      Во исполнение </w:t>
      </w:r>
      <w:r>
        <w:rPr>
          <w:rFonts w:ascii="Times New Roman"/>
          <w:b w:val="false"/>
          <w:i w:val="false"/>
          <w:color w:val="000000"/>
          <w:sz w:val="28"/>
        </w:rPr>
        <w:t>пункта 4</w:t>
      </w:r>
      <w:r>
        <w:rPr>
          <w:rFonts w:ascii="Times New Roman"/>
          <w:b w:val="false"/>
          <w:i w:val="false"/>
          <w:color w:val="000000"/>
          <w:sz w:val="28"/>
        </w:rPr>
        <w:t xml:space="preserve"> Решения Совета Евразийской экономической комиссии от 16 июля 2012 г. № 54 «Об утверждении единой Товарной номенклатуры внешнеэкономической деятельности Таможенного союза и Единого таможенного тарифа Таможенного союза» Коллегия Евразийской экономической комиссии </w:t>
      </w:r>
      <w:r>
        <w:rPr>
          <w:rFonts w:ascii="Times New Roman"/>
          <w:b/>
          <w:i w:val="false"/>
          <w:color w:val="000000"/>
          <w:sz w:val="28"/>
        </w:rPr>
        <w:t>решила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Одобрить </w:t>
      </w:r>
      <w:r>
        <w:rPr>
          <w:rFonts w:ascii="Times New Roman"/>
          <w:b w:val="false"/>
          <w:i w:val="false"/>
          <w:color w:val="000000"/>
          <w:sz w:val="28"/>
        </w:rPr>
        <w:t>проект</w:t>
      </w:r>
      <w:r>
        <w:rPr>
          <w:rFonts w:ascii="Times New Roman"/>
          <w:b w:val="false"/>
          <w:i w:val="false"/>
          <w:color w:val="000000"/>
          <w:sz w:val="28"/>
        </w:rPr>
        <w:t xml:space="preserve"> решения Совета Евразийской экономической комиссии «О внесении изменений в Перечень чувствительных товаров, в отношении которых решение об изменении ставки ввозной таможенной пошлины Комиссия Таможенного союза принимает консенсусом» (прилагается) и внести его для рассмотрения на очередном заседании Совета Евразийской экономической комиссии.</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Председатель                               В.Б. Христенко</w:t>
      </w:r>
    </w:p>
    <w:p>
      <w:pPr>
        <w:spacing w:after="0"/>
        <w:ind w:left="0"/>
        <w:jc w:val="both"/>
      </w:pPr>
      <w:r>
        <w:rPr>
          <w:rFonts w:ascii="Times New Roman"/>
          <w:b w:val="false"/>
          <w:i w:val="false"/>
          <w:color w:val="000000"/>
          <w:sz w:val="28"/>
        </w:rPr>
        <w:t>      </w:t>
      </w:r>
      <w:r>
        <w:drawing>
          <wp:inline distT="0" distB="0" distL="0" distR="0">
            <wp:extent cx="7696200" cy="152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696200" cy="1524000"/>
                    </a:xfrm>
                    <a:prstGeom prst="rect">
                      <a:avLst/>
                    </a:prstGeom>
                  </pic:spPr>
                </pic:pic>
              </a:graphicData>
            </a:graphic>
          </wp:inline>
        </w:drawing>
      </w:r>
    </w:p>
    <w:bookmarkStart w:name="z3" w:id="1"/>
    <w:p>
      <w:pPr>
        <w:spacing w:after="0"/>
        <w:ind w:left="0"/>
        <w:jc w:val="left"/>
      </w:pPr>
      <w:r>
        <w:rPr>
          <w:rFonts w:ascii="Times New Roman"/>
          <w:b/>
          <w:i w:val="false"/>
          <w:color w:val="000000"/>
        </w:rPr>
        <w:t xml:space="preserve"> 
ЕВРАЗИЙСКАЯ ЭКОНОМИЧЕСКАЯ КОМИССИЯ</w:t>
      </w:r>
      <w:r>
        <w:br/>
      </w:r>
      <w:r>
        <w:rPr>
          <w:rFonts w:ascii="Times New Roman"/>
          <w:b/>
          <w:i w:val="false"/>
          <w:color w:val="000000"/>
        </w:rPr>
        <w:t>
СОВЕТ</w:t>
      </w:r>
    </w:p>
    <w:bookmarkEnd w:id="1"/>
    <w:bookmarkStart w:name="z4" w:id="2"/>
    <w:p>
      <w:pPr>
        <w:spacing w:after="0"/>
        <w:ind w:left="0"/>
        <w:jc w:val="both"/>
      </w:pPr>
      <w:r>
        <w:rPr>
          <w:rFonts w:ascii="Times New Roman"/>
          <w:b w:val="false"/>
          <w:i w:val="false"/>
          <w:color w:val="000000"/>
          <w:sz w:val="28"/>
        </w:rPr>
        <w:t xml:space="preserve">
Проект            </w:t>
      </w:r>
    </w:p>
    <w:bookmarkEnd w:id="2"/>
    <w:bookmarkStart w:name="z5" w:id="3"/>
    <w:p>
      <w:pPr>
        <w:spacing w:after="0"/>
        <w:ind w:left="0"/>
        <w:jc w:val="left"/>
      </w:pPr>
      <w:r>
        <w:rPr>
          <w:rFonts w:ascii="Times New Roman"/>
          <w:b/>
          <w:i w:val="false"/>
          <w:color w:val="000000"/>
        </w:rPr>
        <w:t xml:space="preserve"> 
Р Е Ш Е Н И Е</w:t>
      </w:r>
    </w:p>
    <w:bookmarkEnd w:id="3"/>
    <w:p>
      <w:pPr>
        <w:spacing w:after="0"/>
        <w:ind w:left="0"/>
        <w:jc w:val="both"/>
      </w:pPr>
      <w:r>
        <w:rPr>
          <w:rFonts w:ascii="Times New Roman"/>
          <w:b w:val="false"/>
          <w:i w:val="false"/>
          <w:color w:val="000000"/>
          <w:sz w:val="28"/>
        </w:rPr>
        <w:t>«__» ноября 2012 г.                   №                   г. Москва</w:t>
      </w:r>
    </w:p>
    <w:bookmarkStart w:name="z6" w:id="4"/>
    <w:p>
      <w:pPr>
        <w:spacing w:after="0"/>
        <w:ind w:left="0"/>
        <w:jc w:val="left"/>
      </w:pPr>
      <w:r>
        <w:rPr>
          <w:rFonts w:ascii="Times New Roman"/>
          <w:b/>
          <w:i w:val="false"/>
          <w:color w:val="000000"/>
        </w:rPr>
        <w:t xml:space="preserve"> 
О внесении изменений в Перечень чувствительных товаров, в</w:t>
      </w:r>
      <w:r>
        <w:br/>
      </w:r>
      <w:r>
        <w:rPr>
          <w:rFonts w:ascii="Times New Roman"/>
          <w:b/>
          <w:i w:val="false"/>
          <w:color w:val="000000"/>
        </w:rPr>
        <w:t>
отношении которых решение об изменении ставки ввозной</w:t>
      </w:r>
      <w:r>
        <w:br/>
      </w:r>
      <w:r>
        <w:rPr>
          <w:rFonts w:ascii="Times New Roman"/>
          <w:b/>
          <w:i w:val="false"/>
          <w:color w:val="000000"/>
        </w:rPr>
        <w:t>
таможенной пошлины Комиссия Таможенного союза принимает</w:t>
      </w:r>
      <w:r>
        <w:br/>
      </w:r>
      <w:r>
        <w:rPr>
          <w:rFonts w:ascii="Times New Roman"/>
          <w:b/>
          <w:i w:val="false"/>
          <w:color w:val="000000"/>
        </w:rPr>
        <w:t>
консенсусом</w:t>
      </w:r>
    </w:p>
    <w:bookmarkEnd w:id="4"/>
    <w:bookmarkStart w:name="z7" w:id="5"/>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Регламентом</w:t>
      </w:r>
      <w:r>
        <w:rPr>
          <w:rFonts w:ascii="Times New Roman"/>
          <w:b w:val="false"/>
          <w:i w:val="false"/>
          <w:color w:val="000000"/>
          <w:sz w:val="28"/>
        </w:rPr>
        <w:t xml:space="preserve"> работы Евразийской экономической комиссии, утвержденным Решением Высшего Евразийского экономического совета на уровне глав государств от 18 ноября 2011 г. № 1, Совет Евразийской экономической комиссии </w:t>
      </w:r>
      <w:r>
        <w:rPr>
          <w:rFonts w:ascii="Times New Roman"/>
          <w:b/>
          <w:i w:val="false"/>
          <w:color w:val="000000"/>
          <w:sz w:val="28"/>
        </w:rPr>
        <w:t>решил</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Одобрить </w:t>
      </w:r>
      <w:r>
        <w:rPr>
          <w:rFonts w:ascii="Times New Roman"/>
          <w:b w:val="false"/>
          <w:i w:val="false"/>
          <w:color w:val="000000"/>
          <w:sz w:val="28"/>
        </w:rPr>
        <w:t>проект</w:t>
      </w:r>
      <w:r>
        <w:rPr>
          <w:rFonts w:ascii="Times New Roman"/>
          <w:b w:val="false"/>
          <w:i w:val="false"/>
          <w:color w:val="000000"/>
          <w:sz w:val="28"/>
        </w:rPr>
        <w:t xml:space="preserve"> решения Высшего Евразийского экономического совета на уровне глав государств «О внесении изменений в Перечень чувствительных товаров, в отношении которых решение об изменении ставки ввозной таможенной пошлины Комиссия Таможенного союза принимает консенсусом» (прилагается) и внести его для рассмотрения на очередном заседании Высшего Евразийского экономического совета на уровне глав государств.</w:t>
      </w:r>
    </w:p>
    <w:bookmarkEnd w:id="5"/>
    <w:p>
      <w:pPr>
        <w:spacing w:after="0"/>
        <w:ind w:left="0"/>
        <w:jc w:val="both"/>
      </w:pPr>
      <w:r>
        <w:rPr>
          <w:rFonts w:ascii="Times New Roman"/>
          <w:b w:val="false"/>
          <w:i/>
          <w:color w:val="000000"/>
          <w:sz w:val="28"/>
        </w:rPr>
        <w:t>Члены Совета Евразийской экономической комиссии: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3"/>
        <w:gridCol w:w="4413"/>
        <w:gridCol w:w="3473"/>
      </w:tblGrid>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Республики Беларусь</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Республики Казахстан</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Российской Федерации</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 Румас</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 Келимбетов</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 Шувалов</w:t>
            </w:r>
          </w:p>
        </w:tc>
      </w:tr>
    </w:tbl>
    <w:p>
      <w:pPr>
        <w:spacing w:after="0"/>
        <w:ind w:left="0"/>
        <w:jc w:val="both"/>
      </w:pPr>
      <w:r>
        <w:rPr>
          <w:rFonts w:ascii="Times New Roman"/>
          <w:b w:val="false"/>
          <w:i w:val="false"/>
          <w:color w:val="000000"/>
          <w:sz w:val="28"/>
        </w:rPr>
        <w:t>      </w:t>
      </w:r>
      <w:r>
        <w:drawing>
          <wp:inline distT="0" distB="0" distL="0" distR="0">
            <wp:extent cx="7696200" cy="152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696200" cy="1524000"/>
                    </a:xfrm>
                    <a:prstGeom prst="rect">
                      <a:avLst/>
                    </a:prstGeom>
                  </pic:spPr>
                </pic:pic>
              </a:graphicData>
            </a:graphic>
          </wp:inline>
        </w:drawing>
      </w:r>
    </w:p>
    <w:bookmarkStart w:name="z9" w:id="6"/>
    <w:p>
      <w:pPr>
        <w:spacing w:after="0"/>
        <w:ind w:left="0"/>
        <w:jc w:val="left"/>
      </w:pPr>
      <w:r>
        <w:rPr>
          <w:rFonts w:ascii="Times New Roman"/>
          <w:b/>
          <w:i w:val="false"/>
          <w:color w:val="000000"/>
        </w:rPr>
        <w:t xml:space="preserve"> 
ВЫСШИЙ ЕВРАЗИЙСКИЙ ЭКОНОМИЧЕСКИЙ</w:t>
      </w:r>
      <w:r>
        <w:br/>
      </w:r>
      <w:r>
        <w:rPr>
          <w:rFonts w:ascii="Times New Roman"/>
          <w:b/>
          <w:i w:val="false"/>
          <w:color w:val="000000"/>
        </w:rPr>
        <w:t>
СОВЕТ</w:t>
      </w:r>
    </w:p>
    <w:bookmarkEnd w:id="6"/>
    <w:bookmarkStart w:name="z10" w:id="7"/>
    <w:p>
      <w:pPr>
        <w:spacing w:after="0"/>
        <w:ind w:left="0"/>
        <w:jc w:val="both"/>
      </w:pPr>
      <w:r>
        <w:rPr>
          <w:rFonts w:ascii="Times New Roman"/>
          <w:b w:val="false"/>
          <w:i w:val="false"/>
          <w:color w:val="000000"/>
          <w:sz w:val="28"/>
        </w:rPr>
        <w:t xml:space="preserve">
Проект            </w:t>
      </w:r>
    </w:p>
    <w:bookmarkEnd w:id="7"/>
    <w:bookmarkStart w:name="z11" w:id="8"/>
    <w:p>
      <w:pPr>
        <w:spacing w:after="0"/>
        <w:ind w:left="0"/>
        <w:jc w:val="left"/>
      </w:pPr>
      <w:r>
        <w:rPr>
          <w:rFonts w:ascii="Times New Roman"/>
          <w:b/>
          <w:i w:val="false"/>
          <w:color w:val="000000"/>
        </w:rPr>
        <w:t xml:space="preserve"> 
Р Е Ш Е Н И Е</w:t>
      </w:r>
    </w:p>
    <w:bookmarkEnd w:id="8"/>
    <w:p>
      <w:pPr>
        <w:spacing w:after="0"/>
        <w:ind w:left="0"/>
        <w:jc w:val="both"/>
      </w:pPr>
      <w:r>
        <w:rPr>
          <w:rFonts w:ascii="Times New Roman"/>
          <w:b w:val="false"/>
          <w:i w:val="false"/>
          <w:color w:val="000000"/>
          <w:sz w:val="28"/>
        </w:rPr>
        <w:t xml:space="preserve">«___» 2012 г.                         №                           г. </w:t>
      </w:r>
    </w:p>
    <w:bookmarkStart w:name="z12" w:id="9"/>
    <w:p>
      <w:pPr>
        <w:spacing w:after="0"/>
        <w:ind w:left="0"/>
        <w:jc w:val="left"/>
      </w:pPr>
      <w:r>
        <w:rPr>
          <w:rFonts w:ascii="Times New Roman"/>
          <w:b/>
          <w:i w:val="false"/>
          <w:color w:val="000000"/>
        </w:rPr>
        <w:t xml:space="preserve"> 
О внесении изменений в Перечень чувствительных товаров, в</w:t>
      </w:r>
      <w:r>
        <w:br/>
      </w:r>
      <w:r>
        <w:rPr>
          <w:rFonts w:ascii="Times New Roman"/>
          <w:b/>
          <w:i w:val="false"/>
          <w:color w:val="000000"/>
        </w:rPr>
        <w:t>
отношении которых решение об изменении ставки ввозной</w:t>
      </w:r>
      <w:r>
        <w:br/>
      </w:r>
      <w:r>
        <w:rPr>
          <w:rFonts w:ascii="Times New Roman"/>
          <w:b/>
          <w:i w:val="false"/>
          <w:color w:val="000000"/>
        </w:rPr>
        <w:t>
таможенной пошлины Комиссия Таможенного союза принимает</w:t>
      </w:r>
      <w:r>
        <w:br/>
      </w:r>
      <w:r>
        <w:rPr>
          <w:rFonts w:ascii="Times New Roman"/>
          <w:b/>
          <w:i w:val="false"/>
          <w:color w:val="000000"/>
        </w:rPr>
        <w:t>
консенсусом</w:t>
      </w:r>
    </w:p>
    <w:bookmarkEnd w:id="9"/>
    <w:bookmarkStart w:name="z13" w:id="10"/>
    <w:p>
      <w:pPr>
        <w:spacing w:after="0"/>
        <w:ind w:left="0"/>
        <w:jc w:val="both"/>
      </w:pPr>
      <w:r>
        <w:rPr>
          <w:rFonts w:ascii="Times New Roman"/>
          <w:b w:val="false"/>
          <w:i w:val="false"/>
          <w:color w:val="000000"/>
          <w:sz w:val="28"/>
        </w:rPr>
        <w:t xml:space="preserve">
      Высший Евразийский экономический совет на уровне глав государств </w:t>
      </w:r>
      <w:r>
        <w:rPr>
          <w:rFonts w:ascii="Times New Roman"/>
          <w:b/>
          <w:i w:val="false"/>
          <w:color w:val="000000"/>
          <w:sz w:val="28"/>
        </w:rPr>
        <w:t>решил</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Перечень</w:t>
      </w:r>
      <w:r>
        <w:rPr>
          <w:rFonts w:ascii="Times New Roman"/>
          <w:b w:val="false"/>
          <w:i w:val="false"/>
          <w:color w:val="000000"/>
          <w:sz w:val="28"/>
        </w:rPr>
        <w:t xml:space="preserve"> чувствительных товаров, в отношении которых решение об изменении ставки ввозной таможенной пошлины Комиссия Таможенного союза принимает консенсусом, утвержденный Решением Межгосударственного Совета Евразийского экономического сообщества (Высшего органа Таможенного союза) на уровне глав государств от 27 ноября 2009 г. № 18, следующие изменения:</w:t>
      </w:r>
      <w:r>
        <w:br/>
      </w:r>
      <w:r>
        <w:rPr>
          <w:rFonts w:ascii="Times New Roman"/>
          <w:b w:val="false"/>
          <w:i w:val="false"/>
          <w:color w:val="000000"/>
          <w:sz w:val="28"/>
        </w:rPr>
        <w:t>
</w:t>
      </w:r>
      <w:r>
        <w:rPr>
          <w:rFonts w:ascii="Times New Roman"/>
          <w:b w:val="false"/>
          <w:i w:val="false"/>
          <w:color w:val="000000"/>
          <w:sz w:val="28"/>
        </w:rPr>
        <w:t>
      1) наименование изложить в следующей редакции:</w:t>
      </w:r>
      <w:r>
        <w:br/>
      </w:r>
      <w:r>
        <w:rPr>
          <w:rFonts w:ascii="Times New Roman"/>
          <w:b w:val="false"/>
          <w:i w:val="false"/>
          <w:color w:val="000000"/>
          <w:sz w:val="28"/>
        </w:rPr>
        <w:t>
      «Перечень чувствительных товаров, в отношении которых решение об изменении ставки ввозной таможенной пошлины принимается Советом Евразийской экономической комиссии»;</w:t>
      </w:r>
      <w:r>
        <w:br/>
      </w:r>
      <w:r>
        <w:rPr>
          <w:rFonts w:ascii="Times New Roman"/>
          <w:b w:val="false"/>
          <w:i w:val="false"/>
          <w:color w:val="000000"/>
          <w:sz w:val="28"/>
        </w:rPr>
        <w:t>
</w:t>
      </w:r>
      <w:r>
        <w:rPr>
          <w:rFonts w:ascii="Times New Roman"/>
          <w:b w:val="false"/>
          <w:i w:val="false"/>
          <w:color w:val="000000"/>
          <w:sz w:val="28"/>
        </w:rPr>
        <w:t>
      2) исключить позиции согласно </w:t>
      </w:r>
      <w:r>
        <w:rPr>
          <w:rFonts w:ascii="Times New Roman"/>
          <w:b w:val="false"/>
          <w:i w:val="false"/>
          <w:color w:val="000000"/>
          <w:sz w:val="28"/>
        </w:rPr>
        <w:t>приложению № 1</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3) включить позиции согласно </w:t>
      </w:r>
      <w:r>
        <w:rPr>
          <w:rFonts w:ascii="Times New Roman"/>
          <w:b w:val="false"/>
          <w:i w:val="false"/>
          <w:color w:val="000000"/>
          <w:sz w:val="28"/>
        </w:rPr>
        <w:t>приложению №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Правительствам Сторон совместно с Евразийской экономической комиссией продолжить работу по оптимизации Перечня, указанного в </w:t>
      </w:r>
      <w:r>
        <w:rPr>
          <w:rFonts w:ascii="Times New Roman"/>
          <w:b w:val="false"/>
          <w:i w:val="false"/>
          <w:color w:val="000000"/>
          <w:sz w:val="28"/>
        </w:rPr>
        <w:t>пункте 1</w:t>
      </w:r>
      <w:r>
        <w:rPr>
          <w:rFonts w:ascii="Times New Roman"/>
          <w:b w:val="false"/>
          <w:i w:val="false"/>
          <w:color w:val="000000"/>
          <w:sz w:val="28"/>
        </w:rPr>
        <w:t xml:space="preserve"> настоящего Решения.</w:t>
      </w:r>
    </w:p>
    <w:bookmarkEnd w:id="10"/>
    <w:p>
      <w:pPr>
        <w:spacing w:after="0"/>
        <w:ind w:left="0"/>
        <w:jc w:val="both"/>
      </w:pPr>
      <w:r>
        <w:rPr>
          <w:rFonts w:ascii="Times New Roman"/>
          <w:b w:val="false"/>
          <w:i/>
          <w:color w:val="000000"/>
          <w:sz w:val="28"/>
        </w:rPr>
        <w:t>Члены Высшего Евразийского экономического совета: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3"/>
        <w:gridCol w:w="4293"/>
        <w:gridCol w:w="3133"/>
      </w:tblGrid>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Республики</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Республики</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Российской</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Беларусь</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Казахстан</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Федерации</w:t>
            </w:r>
          </w:p>
        </w:tc>
      </w:tr>
    </w:tbl>
    <w:bookmarkStart w:name="z19" w:id="11"/>
    <w:p>
      <w:pPr>
        <w:spacing w:after="0"/>
        <w:ind w:left="0"/>
        <w:jc w:val="both"/>
      </w:pPr>
      <w:r>
        <w:rPr>
          <w:rFonts w:ascii="Times New Roman"/>
          <w:b w:val="false"/>
          <w:i w:val="false"/>
          <w:color w:val="000000"/>
          <w:sz w:val="28"/>
        </w:rPr>
        <w:t xml:space="preserve">
ПРИЛОЖЕНИЕ № 1           </w:t>
      </w:r>
      <w:r>
        <w:br/>
      </w:r>
      <w:r>
        <w:rPr>
          <w:rFonts w:ascii="Times New Roman"/>
          <w:b w:val="false"/>
          <w:i w:val="false"/>
          <w:color w:val="000000"/>
          <w:sz w:val="28"/>
        </w:rPr>
        <w:t xml:space="preserve">
к Решению Высшего          </w:t>
      </w:r>
      <w:r>
        <w:br/>
      </w:r>
      <w:r>
        <w:rPr>
          <w:rFonts w:ascii="Times New Roman"/>
          <w:b w:val="false"/>
          <w:i w:val="false"/>
          <w:color w:val="000000"/>
          <w:sz w:val="28"/>
        </w:rPr>
        <w:t>
Евразийского экономического совета</w:t>
      </w:r>
      <w:r>
        <w:br/>
      </w:r>
      <w:r>
        <w:rPr>
          <w:rFonts w:ascii="Times New Roman"/>
          <w:b w:val="false"/>
          <w:i w:val="false"/>
          <w:color w:val="000000"/>
          <w:sz w:val="28"/>
        </w:rPr>
        <w:t xml:space="preserve">
на уровне глав государств     </w:t>
      </w:r>
      <w:r>
        <w:br/>
      </w:r>
      <w:r>
        <w:rPr>
          <w:rFonts w:ascii="Times New Roman"/>
          <w:b w:val="false"/>
          <w:i w:val="false"/>
          <w:color w:val="000000"/>
          <w:sz w:val="28"/>
        </w:rPr>
        <w:t xml:space="preserve">
от 2012 г. № 198            </w:t>
      </w:r>
    </w:p>
    <w:bookmarkEnd w:id="11"/>
    <w:bookmarkStart w:name="z20" w:id="12"/>
    <w:p>
      <w:pPr>
        <w:spacing w:after="0"/>
        <w:ind w:left="0"/>
        <w:jc w:val="left"/>
      </w:pPr>
      <w:r>
        <w:rPr>
          <w:rFonts w:ascii="Times New Roman"/>
          <w:b/>
          <w:i w:val="false"/>
          <w:color w:val="000000"/>
        </w:rPr>
        <w:t xml:space="preserve"> 
ПОЗИЦИИ,</w:t>
      </w:r>
      <w:r>
        <w:br/>
      </w:r>
      <w:r>
        <w:rPr>
          <w:rFonts w:ascii="Times New Roman"/>
          <w:b/>
          <w:i w:val="false"/>
          <w:color w:val="000000"/>
        </w:rPr>
        <w:t>
исключаемые из Перечня</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1"/>
        <w:gridCol w:w="10169"/>
      </w:tblGrid>
      <w:tr>
        <w:trPr>
          <w:trHeight w:val="420" w:hRule="atLeast"/>
        </w:trPr>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ТН ВЭД</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позиции</w:t>
            </w:r>
          </w:p>
        </w:tc>
      </w:tr>
      <w:tr>
        <w:trPr>
          <w:trHeight w:val="30" w:hRule="atLeast"/>
        </w:trPr>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0201 10 000 9</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0201 20 200 9</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0201 20 300 9</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0201 20 500 9</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0201 20 900 9</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0201 30 000 9</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прочее</w:t>
            </w:r>
          </w:p>
        </w:tc>
      </w:tr>
      <w:tr>
        <w:trPr>
          <w:trHeight w:val="30" w:hRule="atLeast"/>
        </w:trPr>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0202 10 000 9</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0202 20 100 9</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0202 20 300 9</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0202 20 500 9</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0202 20 900 9</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w:t>
            </w:r>
          </w:p>
        </w:tc>
      </w:tr>
      <w:tr>
        <w:trPr>
          <w:trHeight w:val="30" w:hRule="atLeast"/>
        </w:trPr>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0202 30 100 9</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0202 30 500 9</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0202 30 900 9</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w:t>
            </w:r>
          </w:p>
        </w:tc>
      </w:tr>
      <w:tr>
        <w:trPr>
          <w:trHeight w:val="30" w:hRule="atLeast"/>
        </w:trPr>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0203 29 550 8</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прочее</w:t>
            </w:r>
          </w:p>
        </w:tc>
      </w:tr>
      <w:tr>
        <w:trPr>
          <w:trHeight w:val="30" w:hRule="atLeast"/>
        </w:trPr>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0203 29 900 8</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r>
      <w:tr>
        <w:trPr>
          <w:trHeight w:val="30" w:hRule="atLeast"/>
        </w:trPr>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0406 90 130 0</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Эмменталер</w:t>
            </w:r>
          </w:p>
        </w:tc>
      </w:tr>
      <w:tr>
        <w:trPr>
          <w:trHeight w:val="30" w:hRule="atLeast"/>
        </w:trPr>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0808 10 800 4</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1 августа по 31 декабря</w:t>
            </w:r>
          </w:p>
        </w:tc>
      </w:tr>
      <w:tr>
        <w:trPr>
          <w:trHeight w:val="30" w:hRule="atLeast"/>
        </w:trPr>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1512 19 900 1</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первичных упаковках нетто-объемом 10 л или менее</w:t>
            </w:r>
          </w:p>
        </w:tc>
      </w:tr>
      <w:tr>
        <w:trPr>
          <w:trHeight w:val="30" w:hRule="atLeast"/>
        </w:trPr>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1513 11 990 1</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коробах, бочках, канистрах или бидах нетто-массой 200 кг или менее</w:t>
            </w:r>
          </w:p>
        </w:tc>
      </w:tr>
      <w:tr>
        <w:trPr>
          <w:trHeight w:val="30" w:hRule="atLeast"/>
        </w:trPr>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1513 11 990 9</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r>
      <w:tr>
        <w:trPr>
          <w:trHeight w:val="30" w:hRule="atLeast"/>
        </w:trPr>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1513 19 190 1</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коробах, бочках, канистрах или бидах нетто-массой 200 кг или менее</w:t>
            </w:r>
          </w:p>
        </w:tc>
      </w:tr>
      <w:tr>
        <w:trPr>
          <w:trHeight w:val="30" w:hRule="atLeast"/>
        </w:trPr>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1513 19 190 9</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1513 19 990 1</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коробах, бочках, канистрах или бидах нетто-массой 200 кг или менее</w:t>
            </w:r>
          </w:p>
        </w:tc>
      </w:tr>
      <w:tr>
        <w:trPr>
          <w:trHeight w:val="30" w:hRule="atLeast"/>
        </w:trPr>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1513 19 990 9</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1513 21 900 1</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коробах, бочках, канистрах или бидах нетто-массой 200 кг или менее</w:t>
            </w:r>
          </w:p>
        </w:tc>
      </w:tr>
      <w:tr>
        <w:trPr>
          <w:trHeight w:val="30" w:hRule="atLeast"/>
        </w:trPr>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1513 21 900 9</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r>
      <w:tr>
        <w:trPr>
          <w:trHeight w:val="30" w:hRule="atLeast"/>
        </w:trPr>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1513 29 190 1</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коробах, бочках, канистрах или бидах нетто-массой 200 кг или менее</w:t>
            </w:r>
          </w:p>
        </w:tc>
      </w:tr>
      <w:tr>
        <w:trPr>
          <w:trHeight w:val="30" w:hRule="atLeast"/>
        </w:trPr>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1513 29 190 9</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1513 29 900 1</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коробах, бочках, канистрах или бидах нетто-массой 200 кг или менее</w:t>
            </w:r>
          </w:p>
        </w:tc>
      </w:tr>
      <w:tr>
        <w:trPr>
          <w:trHeight w:val="30" w:hRule="atLeast"/>
        </w:trPr>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1513 29 900 9</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2009 11 190 1</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концентрированный, в бочках, цистернах, флекси-танках вместимостью не менее 40 кг</w:t>
            </w:r>
          </w:p>
        </w:tc>
      </w:tr>
      <w:tr>
        <w:trPr>
          <w:trHeight w:val="30" w:hRule="atLeast"/>
        </w:trPr>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2009 11 190 9</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r>
      <w:tr>
        <w:trPr>
          <w:trHeight w:val="30" w:hRule="atLeast"/>
        </w:trPr>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2009 11 990 9</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r>
      <w:tr>
        <w:trPr>
          <w:trHeight w:val="30" w:hRule="atLeast"/>
        </w:trPr>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2009 12 000 9</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r>
      <w:tr>
        <w:trPr>
          <w:trHeight w:val="30" w:hRule="atLeast"/>
        </w:trPr>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2009 19 190 1</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концентрированный, в бочках, цистернах, флекси-танках вместимостью не менее 40 кг</w:t>
            </w:r>
          </w:p>
        </w:tc>
      </w:tr>
      <w:tr>
        <w:trPr>
          <w:trHeight w:val="30" w:hRule="atLeast"/>
        </w:trPr>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2009 19 190 9</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r>
      <w:tr>
        <w:trPr>
          <w:trHeight w:val="30" w:hRule="atLeast"/>
        </w:trPr>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2009 21 000 0</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числом Брикса не более 20</w:t>
            </w:r>
          </w:p>
        </w:tc>
      </w:tr>
      <w:tr>
        <w:trPr>
          <w:trHeight w:val="30" w:hRule="atLeast"/>
        </w:trPr>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2009 29 190 1</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концентрированный, в бочках, цистернах, флекси-танках вместимостью не менее 40 кг</w:t>
            </w:r>
          </w:p>
        </w:tc>
      </w:tr>
      <w:tr>
        <w:trPr>
          <w:trHeight w:val="30" w:hRule="atLeast"/>
        </w:trPr>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2009 29 190 9</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r>
      <w:tr>
        <w:trPr>
          <w:trHeight w:val="30" w:hRule="atLeast"/>
        </w:trPr>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2009 31 510 0</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содержащий добавки сахара</w:t>
            </w:r>
          </w:p>
        </w:tc>
      </w:tr>
      <w:tr>
        <w:trPr>
          <w:trHeight w:val="30" w:hRule="atLeast"/>
        </w:trPr>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2009 31 590 0</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содержащий добавок сахара</w:t>
            </w:r>
          </w:p>
        </w:tc>
      </w:tr>
      <w:tr>
        <w:trPr>
          <w:trHeight w:val="30" w:hRule="atLeast"/>
        </w:trPr>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2009 31 910 0</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содержащие добавки сахара</w:t>
            </w:r>
          </w:p>
        </w:tc>
      </w:tr>
      <w:tr>
        <w:trPr>
          <w:trHeight w:val="30" w:hRule="atLeast"/>
        </w:trPr>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2009 31 990 0</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содержащие добавок сахара</w:t>
            </w:r>
          </w:p>
        </w:tc>
      </w:tr>
      <w:tr>
        <w:trPr>
          <w:trHeight w:val="30" w:hRule="atLeast"/>
        </w:trPr>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2009 39 190 1</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концентрированные, в бочках, цистернах, флекси-танках вместимостью не менее 40 кг</w:t>
            </w:r>
          </w:p>
        </w:tc>
      </w:tr>
      <w:tr>
        <w:trPr>
          <w:trHeight w:val="30" w:hRule="atLeast"/>
        </w:trPr>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2009 39 190 9</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2009 49 190 1</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концентрированный, в бочках, цистернах, флекси-танках вместимостью не менее 40 кг</w:t>
            </w:r>
          </w:p>
        </w:tc>
      </w:tr>
      <w:tr>
        <w:trPr>
          <w:trHeight w:val="30" w:hRule="atLeast"/>
        </w:trPr>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2009 49 190 9</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r>
      <w:tr>
        <w:trPr>
          <w:trHeight w:val="30" w:hRule="atLeast"/>
        </w:trPr>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2009 50 900 1</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концентрированный, с числом Брикса не менее 17, но не более 67, стоимостью, превышающей 30 евро за 100 кг нетто-массы, в бочках, цистернах, флекси-танках вместимостью не менее 40 кг</w:t>
            </w:r>
          </w:p>
        </w:tc>
      </w:tr>
      <w:tr>
        <w:trPr>
          <w:trHeight w:val="30" w:hRule="atLeast"/>
        </w:trPr>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2009 50 900 9</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r>
      <w:tr>
        <w:trPr>
          <w:trHeight w:val="30" w:hRule="atLeast"/>
        </w:trPr>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2009 61 100 1</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концентрированный, с числом Брикса не менее 26, стоимостью, превышающей 30 евро за 100 кг нетто-массы, в бочках, цистернах, флекси-танках вместимостью не менее 40 кг</w:t>
            </w:r>
          </w:p>
        </w:tc>
      </w:tr>
      <w:tr>
        <w:trPr>
          <w:trHeight w:val="30" w:hRule="atLeast"/>
        </w:trPr>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r>
              <w:rPr>
                <w:rFonts w:ascii="Times New Roman"/>
                <w:b w:val="false"/>
                <w:i w:val="false"/>
                <w:color w:val="000000"/>
                <w:vertAlign w:val="superscript"/>
              </w:rPr>
              <w:t>i</w:t>
            </w:r>
          </w:p>
        </w:tc>
      </w:tr>
      <w:tr>
        <w:trPr>
          <w:trHeight w:val="30" w:hRule="atLeast"/>
        </w:trPr>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2009 61 100 2</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упаковках объемом не более 0,35 л, для детского питания</w:t>
            </w:r>
          </w:p>
        </w:tc>
      </w:tr>
      <w:tr>
        <w:trPr>
          <w:trHeight w:val="30" w:hRule="atLeast"/>
        </w:trPr>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2009 61 100 8</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r>
      <w:tr>
        <w:trPr>
          <w:trHeight w:val="30" w:hRule="atLeast"/>
        </w:trPr>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2009 71 200 9</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r>
      <w:tr>
        <w:trPr>
          <w:trHeight w:val="30" w:hRule="atLeast"/>
        </w:trPr>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2009 71 990 0</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 содержащий добавок сахара</w:t>
            </w:r>
          </w:p>
        </w:tc>
      </w:tr>
      <w:tr>
        <w:trPr>
          <w:trHeight w:val="30" w:hRule="atLeast"/>
        </w:trPr>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2009 79 190 1</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концентрированный, стоимостью, превышающей 30 евро за 100 кг нетто-массы, в бочках, цистернах, флекси-танках вместимостью не менее 40 кг</w:t>
            </w:r>
          </w:p>
        </w:tc>
      </w:tr>
      <w:tr>
        <w:trPr>
          <w:trHeight w:val="30" w:hRule="atLeast"/>
        </w:trPr>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2009 79 190 9</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r>
      <w:tr>
        <w:trPr>
          <w:trHeight w:val="30" w:hRule="atLeast"/>
        </w:trPr>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2009 81 190 1</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концентрированный, в бочках, цистернах, флекси-танках вместимостью не менее 40 кг</w:t>
            </w:r>
          </w:p>
        </w:tc>
      </w:tr>
      <w:tr>
        <w:trPr>
          <w:trHeight w:val="30" w:hRule="atLeast"/>
        </w:trPr>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2009 81 190 9</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r>
      <w:tr>
        <w:trPr>
          <w:trHeight w:val="30" w:hRule="atLeast"/>
        </w:trPr>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2009 81 310 9</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r>
      <w:tr>
        <w:trPr>
          <w:trHeight w:val="30" w:hRule="atLeast"/>
        </w:trPr>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2009 89 190 1</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концентрированный, стоимостью, превышающей 30 евро за 100 кг нетто-массы, в бочках, цистернах, флекси-танках вместимостью не менее 40 кг</w:t>
            </w:r>
          </w:p>
        </w:tc>
      </w:tr>
      <w:tr>
        <w:trPr>
          <w:trHeight w:val="30" w:hRule="atLeast"/>
        </w:trPr>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2009 89 190 9</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прочий</w:t>
            </w:r>
          </w:p>
        </w:tc>
      </w:tr>
      <w:tr>
        <w:trPr>
          <w:trHeight w:val="30" w:hRule="atLeast"/>
        </w:trPr>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2009 89 360 1</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концентрированный, в бочках, цистернах, флекси-танках вместимостью не менее 40 кг</w:t>
            </w:r>
          </w:p>
        </w:tc>
      </w:tr>
      <w:tr>
        <w:trPr>
          <w:trHeight w:val="30" w:hRule="atLeast"/>
        </w:trPr>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2009 89 360 9</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прочий</w:t>
            </w:r>
          </w:p>
        </w:tc>
      </w:tr>
      <w:tr>
        <w:trPr>
          <w:trHeight w:val="30" w:hRule="atLeast"/>
        </w:trPr>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2009 89 380 1</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концентрированный, в бочках, цистернах, флекси-танках вместимостью не менее 40 кг</w:t>
            </w:r>
          </w:p>
        </w:tc>
      </w:tr>
      <w:tr>
        <w:trPr>
          <w:trHeight w:val="30" w:hRule="atLeast"/>
        </w:trPr>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2009 89 380 9</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прочий</w:t>
            </w:r>
          </w:p>
        </w:tc>
      </w:tr>
      <w:tr>
        <w:trPr>
          <w:trHeight w:val="30" w:hRule="atLeast"/>
        </w:trPr>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2009 89 710 9</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прочий</w:t>
            </w:r>
          </w:p>
        </w:tc>
      </w:tr>
      <w:tr>
        <w:trPr>
          <w:trHeight w:val="30" w:hRule="atLeast"/>
        </w:trPr>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2009 89 730 9</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прочий</w:t>
            </w:r>
          </w:p>
        </w:tc>
      </w:tr>
      <w:tr>
        <w:trPr>
          <w:trHeight w:val="30" w:hRule="atLeast"/>
        </w:trPr>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2009 89 790 9</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прочий</w:t>
            </w:r>
          </w:p>
        </w:tc>
      </w:tr>
      <w:tr>
        <w:trPr>
          <w:trHeight w:val="30" w:hRule="atLeast"/>
        </w:trPr>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2009 90 190 1</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концентрированные, стоимостью, превышающей 30 евро за 100 кг нетто-массы, в бочках, цистернах, флекси-танках вместимостью не менее 40 кг</w:t>
            </w:r>
          </w:p>
        </w:tc>
      </w:tr>
      <w:tr>
        <w:trPr>
          <w:trHeight w:val="30" w:hRule="atLeast"/>
        </w:trPr>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2009 90 190 9</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2009 90 290 1</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концентрированные, в бочках, цистернах, флекси-танках вместимостью не менее 40 кг</w:t>
            </w:r>
          </w:p>
        </w:tc>
      </w:tr>
      <w:tr>
        <w:trPr>
          <w:trHeight w:val="30" w:hRule="atLeast"/>
        </w:trPr>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2009 90 290 9</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2009 90 410 8</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r>
      <w:tr>
        <w:trPr>
          <w:trHeight w:val="30" w:hRule="atLeast"/>
        </w:trPr>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2009 90 490 9</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2009 90 510 8</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r>
      <w:tr>
        <w:trPr>
          <w:trHeight w:val="30" w:hRule="atLeast"/>
        </w:trPr>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2009 90 590 9</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2711 14 000 0</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этилен, пропилен, бутилен и бутадиен</w:t>
            </w:r>
          </w:p>
        </w:tc>
      </w:tr>
      <w:tr>
        <w:trPr>
          <w:trHeight w:val="30" w:hRule="atLeast"/>
        </w:trPr>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[2838]</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[2851]</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2852 90 000 9</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2901 24 000 0</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бута-1,3-диен и изопрен</w:t>
            </w:r>
          </w:p>
        </w:tc>
      </w:tr>
      <w:tr>
        <w:trPr>
          <w:trHeight w:val="30" w:hRule="atLeast"/>
        </w:trPr>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2909 49 800 0</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циклические</w:t>
            </w:r>
          </w:p>
        </w:tc>
      </w:tr>
      <w:tr>
        <w:trPr>
          <w:trHeight w:val="30" w:hRule="atLeast"/>
        </w:trPr>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3910 00 000 9</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3917 29 000 0</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пластмасс</w:t>
            </w:r>
          </w:p>
        </w:tc>
      </w:tr>
      <w:tr>
        <w:trPr>
          <w:trHeight w:val="30" w:hRule="atLeast"/>
        </w:trPr>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технических целей, для гражданской авиации:</w:t>
            </w:r>
            <w:r>
              <w:rPr>
                <w:rFonts w:ascii="Times New Roman"/>
                <w:b w:val="false"/>
                <w:i w:val="false"/>
                <w:color w:val="000000"/>
                <w:vertAlign w:val="superscript"/>
              </w:rPr>
              <w:t>ii</w:t>
            </w:r>
          </w:p>
        </w:tc>
      </w:tr>
      <w:tr>
        <w:trPr>
          <w:trHeight w:val="30" w:hRule="atLeast"/>
        </w:trPr>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4814 90 700 0</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5904 90 000 0</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6204 33 900 0</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r>
      <w:tr>
        <w:trPr>
          <w:trHeight w:val="30" w:hRule="atLeast"/>
        </w:trPr>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7304 11 000 9</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7304 49 930 0</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наружным диаметром не более 168,3 мм</w:t>
            </w:r>
          </w:p>
        </w:tc>
      </w:tr>
      <w:tr>
        <w:trPr>
          <w:trHeight w:val="30" w:hRule="atLeast"/>
        </w:trPr>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7304 49 950 0</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наружным диаметром более 168,3 мм, но не более 406,4 мм</w:t>
            </w:r>
          </w:p>
        </w:tc>
      </w:tr>
      <w:tr>
        <w:trPr>
          <w:trHeight w:val="30" w:hRule="atLeast"/>
        </w:trPr>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7608 20 890 1</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производства авиационных двигателей</w:t>
            </w:r>
            <w:r>
              <w:rPr>
                <w:rFonts w:ascii="Times New Roman"/>
                <w:b w:val="false"/>
                <w:i w:val="false"/>
                <w:color w:val="000000"/>
                <w:vertAlign w:val="superscript"/>
              </w:rPr>
              <w:t>5)</w:t>
            </w:r>
          </w:p>
        </w:tc>
      </w:tr>
      <w:tr>
        <w:trPr>
          <w:trHeight w:val="30" w:hRule="atLeast"/>
        </w:trPr>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7608 20 890 9</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8408 10 110 0</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морских судов товарных позиций 8901 – 8906, буксиров подсубпозиции 8904 00 100 0 и военных кораблей подсубпозиции 8906 10 000 0</w:t>
            </w:r>
          </w:p>
        </w:tc>
      </w:tr>
      <w:tr>
        <w:trPr>
          <w:trHeight w:val="30" w:hRule="atLeast"/>
        </w:trPr>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8408 10 230 0</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морских судов товарных позиций 8901 – 8906, буксиров подсубпозиции 8904 00 100 0 и военных кораблей подсубпозиции 8906 10 000 0</w:t>
            </w:r>
          </w:p>
        </w:tc>
      </w:tr>
      <w:tr>
        <w:trPr>
          <w:trHeight w:val="30" w:hRule="atLeast"/>
        </w:trPr>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8408 10 310 0</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морских судов товарных позиций 8901 – 8906, буксиров подсубпозиции 8904 00 100 0 и военных кораблей подсубпозиции 8906 10 000 0</w:t>
            </w:r>
          </w:p>
        </w:tc>
      </w:tr>
      <w:tr>
        <w:trPr>
          <w:trHeight w:val="30" w:hRule="atLeast"/>
        </w:trPr>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8408 10 410 0</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морских судов товарных позиций 8901 – 8906, буксиров подсубпозиции 8904 00 100 0 и военных кораблей подсубпозиции 8906 10 000 0</w:t>
            </w:r>
          </w:p>
        </w:tc>
      </w:tr>
      <w:tr>
        <w:trPr>
          <w:trHeight w:val="30" w:hRule="atLeast"/>
        </w:trPr>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8408 10 510 0</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морских судов товарных позиций 8901 – 8906, буксиров подсубпозиции 8904 00 100 0 и военных кораблей подсубпозиции 8906 10 000 0</w:t>
            </w:r>
          </w:p>
        </w:tc>
      </w:tr>
      <w:tr>
        <w:trPr>
          <w:trHeight w:val="30" w:hRule="atLeast"/>
        </w:trPr>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8408 10 610 0</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морских судов товарных позиций 8901 – 8906, буксиров подсубпозиции 8904 00 100 0 и военных кораблей подсубпозиции 8906 10 000 0</w:t>
            </w:r>
          </w:p>
        </w:tc>
      </w:tr>
      <w:tr>
        <w:trPr>
          <w:trHeight w:val="30" w:hRule="atLeast"/>
        </w:trPr>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8408 10 710 0</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морских судов товарных позиций 8901 – 8906, буксиров подсубпозиции 8904 00 100 0 и военных кораблей подсубпозиции 8906 10 000 0</w:t>
            </w:r>
          </w:p>
        </w:tc>
      </w:tr>
      <w:tr>
        <w:trPr>
          <w:trHeight w:val="30" w:hRule="atLeast"/>
        </w:trPr>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8408 10 810 0</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морских судов товарных позиций 8901 – 8906, буксиров подсубпозиции 8904 00 100 0 и военных кораблей подсубпозиции 8906 10 000 0</w:t>
            </w:r>
          </w:p>
        </w:tc>
      </w:tr>
      <w:tr>
        <w:trPr>
          <w:trHeight w:val="30" w:hRule="atLeast"/>
        </w:trPr>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8408 10 910 0</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морских судов товарных позиций 8901 – 8906, буксиров подсубпозиции 8904 00 100 0 и военных кораблей подсубпозиции 8906 10 000 0</w:t>
            </w:r>
          </w:p>
        </w:tc>
      </w:tr>
      <w:tr>
        <w:trPr>
          <w:trHeight w:val="30" w:hRule="atLeast"/>
        </w:trPr>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8452 90 000 0</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основания и футляры, предназначенные специально для швейных машин, и их части; части швейных машин прочие</w:t>
            </w:r>
          </w:p>
        </w:tc>
      </w:tr>
      <w:tr>
        <w:trPr>
          <w:trHeight w:val="30" w:hRule="atLeast"/>
        </w:trPr>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8462 10 100 0</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числовым программным управлением</w:t>
            </w:r>
          </w:p>
        </w:tc>
      </w:tr>
      <w:tr>
        <w:trPr>
          <w:trHeight w:val="30" w:hRule="atLeast"/>
        </w:trPr>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8481 10 190 1</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производства авиационных двигателей</w:t>
            </w:r>
            <w:r>
              <w:rPr>
                <w:rFonts w:ascii="Times New Roman"/>
                <w:b w:val="false"/>
                <w:i w:val="false"/>
                <w:color w:val="000000"/>
                <w:vertAlign w:val="superscript"/>
              </w:rPr>
              <w:t>5)</w:t>
            </w:r>
          </w:p>
        </w:tc>
      </w:tr>
      <w:tr>
        <w:trPr>
          <w:trHeight w:val="30" w:hRule="atLeast"/>
        </w:trPr>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8481 10 190 9</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8481 10 990 0</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8481 30 990 0</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8481 80 850 9</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8501 10 100 0</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синхронные двигатели мощностью не более 18 Вт</w:t>
            </w:r>
          </w:p>
        </w:tc>
      </w:tr>
      <w:tr>
        <w:trPr>
          <w:trHeight w:val="30" w:hRule="atLeast"/>
        </w:trPr>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8501 40 200 2</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асинхронные с высотой оси вращения 250 мм</w:t>
            </w:r>
          </w:p>
        </w:tc>
      </w:tr>
      <w:tr>
        <w:trPr>
          <w:trHeight w:val="30" w:hRule="atLeast"/>
        </w:trPr>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8504 23 000 0</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мощностью более 10 000 кВА</w:t>
            </w:r>
          </w:p>
        </w:tc>
      </w:tr>
      <w:tr>
        <w:trPr>
          <w:trHeight w:val="30" w:hRule="atLeast"/>
        </w:trPr>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8504 40 880 9</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8504 40 900 9</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8525 60 000 0</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передающая, включающая в свой состав приемную аппаратуру</w:t>
            </w:r>
          </w:p>
        </w:tc>
      </w:tr>
      <w:tr>
        <w:trPr>
          <w:trHeight w:val="30" w:hRule="atLeast"/>
        </w:trPr>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8701 20 901 3</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момента выпуска которых прошло более 5 лет</w:t>
            </w:r>
          </w:p>
        </w:tc>
      </w:tr>
      <w:tr>
        <w:trPr>
          <w:trHeight w:val="30" w:hRule="atLeast"/>
        </w:trPr>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8702 10 192 2</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момента выпуска которых прошло более 5 лет</w:t>
            </w:r>
          </w:p>
        </w:tc>
      </w:tr>
      <w:tr>
        <w:trPr>
          <w:trHeight w:val="30" w:hRule="atLeast"/>
        </w:trPr>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8702 10 199 3</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момента выпуска которых прошло более 5 лет</w:t>
            </w:r>
          </w:p>
        </w:tc>
      </w:tr>
      <w:tr>
        <w:trPr>
          <w:trHeight w:val="30" w:hRule="atLeast"/>
        </w:trPr>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8702 10 992 2</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момента выпуска которых прошло более 5 лет</w:t>
            </w:r>
          </w:p>
        </w:tc>
      </w:tr>
      <w:tr>
        <w:trPr>
          <w:trHeight w:val="30" w:hRule="atLeast"/>
        </w:trPr>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8702 10 999 2</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момента выпуска которых прошло более 5 лет</w:t>
            </w:r>
          </w:p>
        </w:tc>
      </w:tr>
      <w:tr>
        <w:trPr>
          <w:trHeight w:val="30" w:hRule="atLeast"/>
        </w:trPr>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8702 90 192 2</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5 лет</w:t>
            </w:r>
          </w:p>
        </w:tc>
      </w:tr>
      <w:tr>
        <w:trPr>
          <w:trHeight w:val="30" w:hRule="atLeast"/>
        </w:trPr>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8702 90 199 3</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5 лет</w:t>
            </w:r>
          </w:p>
        </w:tc>
      </w:tr>
      <w:tr>
        <w:trPr>
          <w:trHeight w:val="30" w:hRule="atLeast"/>
        </w:trPr>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8702 90 392 2</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5 лет</w:t>
            </w:r>
          </w:p>
        </w:tc>
      </w:tr>
      <w:tr>
        <w:trPr>
          <w:trHeight w:val="30" w:hRule="atLeast"/>
        </w:trPr>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8702 90 399 2</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5 лет</w:t>
            </w:r>
          </w:p>
        </w:tc>
      </w:tr>
      <w:tr>
        <w:trPr>
          <w:trHeight w:val="30" w:hRule="atLeast"/>
        </w:trPr>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8703 21 909 2</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 момента выпуска которых прошло более 5 лет</w:t>
            </w:r>
          </w:p>
        </w:tc>
      </w:tr>
      <w:tr>
        <w:trPr>
          <w:trHeight w:val="30" w:hRule="atLeast"/>
        </w:trPr>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8703 22 909 2</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 момента выпуска которых прошло более 5 лет</w:t>
            </w:r>
          </w:p>
        </w:tc>
      </w:tr>
      <w:tr>
        <w:trPr>
          <w:trHeight w:val="30" w:hRule="atLeast"/>
        </w:trPr>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8703 23 901 2</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 момента выпуска которых прошло более 5 лет</w:t>
            </w:r>
          </w:p>
        </w:tc>
      </w:tr>
      <w:tr>
        <w:trPr>
          <w:trHeight w:val="30" w:hRule="atLeast"/>
        </w:trPr>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8703 23 902 1</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 момента выпуска которых прошло более 5 лет</w:t>
            </w:r>
          </w:p>
        </w:tc>
      </w:tr>
      <w:tr>
        <w:trPr>
          <w:trHeight w:val="30" w:hRule="atLeast"/>
        </w:trPr>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8703 23 902 5</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 момента выпуска которых прошло более 5 лет</w:t>
            </w:r>
          </w:p>
        </w:tc>
      </w:tr>
      <w:tr>
        <w:trPr>
          <w:trHeight w:val="30" w:hRule="atLeast"/>
        </w:trPr>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8703 23 902 6</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8703 24 909 2</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 момента выпуска которых прошло более 5 лет</w:t>
            </w:r>
          </w:p>
        </w:tc>
      </w:tr>
      <w:tr>
        <w:trPr>
          <w:trHeight w:val="30" w:hRule="atLeast"/>
        </w:trPr>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8703 31 909 2</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 момента выпуска которых прошло более 5 лет</w:t>
            </w:r>
          </w:p>
        </w:tc>
      </w:tr>
      <w:tr>
        <w:trPr>
          <w:trHeight w:val="30" w:hRule="atLeast"/>
        </w:trPr>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8703 32 909 2</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 момента выпуска которых прошло более 5 лет</w:t>
            </w:r>
          </w:p>
        </w:tc>
      </w:tr>
      <w:tr>
        <w:trPr>
          <w:trHeight w:val="30" w:hRule="atLeast"/>
        </w:trPr>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8703 33 909 2</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 момента выпуска которых прошло более 5 лет</w:t>
            </w:r>
          </w:p>
        </w:tc>
      </w:tr>
      <w:tr>
        <w:trPr>
          <w:trHeight w:val="30" w:hRule="atLeast"/>
        </w:trPr>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8704 21 390 2</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момента выпуска которых прошло более 5 лет</w:t>
            </w:r>
          </w:p>
        </w:tc>
      </w:tr>
      <w:tr>
        <w:trPr>
          <w:trHeight w:val="30" w:hRule="atLeast"/>
        </w:trPr>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8704 21 990 2</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5 лет</w:t>
            </w:r>
          </w:p>
        </w:tc>
      </w:tr>
      <w:tr>
        <w:trPr>
          <w:trHeight w:val="30" w:hRule="atLeast"/>
        </w:trPr>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8704 22 910 9</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8704 22 990 3</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5 лет</w:t>
            </w:r>
          </w:p>
        </w:tc>
      </w:tr>
      <w:tr>
        <w:trPr>
          <w:trHeight w:val="30" w:hRule="atLeast"/>
        </w:trPr>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8704 23 990 3</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момента выпуска которых прошло более 5 лет</w:t>
            </w:r>
          </w:p>
        </w:tc>
      </w:tr>
      <w:tr>
        <w:trPr>
          <w:trHeight w:val="30" w:hRule="atLeast"/>
        </w:trPr>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8704 31 390 2</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5 лет</w:t>
            </w:r>
          </w:p>
        </w:tc>
      </w:tr>
      <w:tr>
        <w:trPr>
          <w:trHeight w:val="30" w:hRule="atLeast"/>
        </w:trPr>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8704 31 990 2</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5 лет</w:t>
            </w:r>
          </w:p>
        </w:tc>
      </w:tr>
      <w:tr>
        <w:trPr>
          <w:trHeight w:val="30" w:hRule="atLeast"/>
        </w:trPr>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8704 32 990 3</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5 лет</w:t>
            </w:r>
          </w:p>
        </w:tc>
      </w:tr>
    </w:tbl>
    <w:p>
      <w:pPr>
        <w:spacing w:after="0"/>
        <w:ind w:left="0"/>
        <w:jc w:val="both"/>
      </w:pPr>
      <w:r>
        <w:rPr>
          <w:rFonts w:ascii="Times New Roman"/>
          <w:b w:val="false"/>
          <w:i w:val="false"/>
          <w:color w:val="000000"/>
          <w:vertAlign w:val="superscript"/>
        </w:rPr>
        <w:t>i</w:t>
      </w:r>
      <w:r>
        <w:rPr>
          <w:rFonts w:ascii="Times New Roman"/>
          <w:b w:val="false"/>
          <w:i w:val="false"/>
          <w:color w:val="000000"/>
          <w:sz w:val="28"/>
        </w:rPr>
        <w:t xml:space="preserve"> Бескодовая позиция после позиции 2009 61 100 1.</w:t>
      </w:r>
      <w:r>
        <w:br/>
      </w:r>
      <w:r>
        <w:rPr>
          <w:rFonts w:ascii="Times New Roman"/>
          <w:b w:val="false"/>
          <w:i w:val="false"/>
          <w:color w:val="000000"/>
          <w:sz w:val="28"/>
        </w:rPr>
        <w:t>
</w:t>
      </w:r>
      <w:r>
        <w:rPr>
          <w:rFonts w:ascii="Times New Roman"/>
          <w:b w:val="false"/>
          <w:i w:val="false"/>
          <w:color w:val="000000"/>
          <w:vertAlign w:val="superscript"/>
        </w:rPr>
        <w:t>ii</w:t>
      </w:r>
      <w:r>
        <w:rPr>
          <w:rFonts w:ascii="Times New Roman"/>
          <w:b w:val="false"/>
          <w:i w:val="false"/>
          <w:color w:val="000000"/>
          <w:sz w:val="28"/>
        </w:rPr>
        <w:t xml:space="preserve"> Бескодовая позиция после позиции 3926 90 970 3.</w:t>
      </w:r>
    </w:p>
    <w:bookmarkStart w:name="z21" w:id="13"/>
    <w:p>
      <w:pPr>
        <w:spacing w:after="0"/>
        <w:ind w:left="0"/>
        <w:jc w:val="both"/>
      </w:pPr>
      <w:r>
        <w:rPr>
          <w:rFonts w:ascii="Times New Roman"/>
          <w:b w:val="false"/>
          <w:i w:val="false"/>
          <w:color w:val="000000"/>
          <w:sz w:val="28"/>
        </w:rPr>
        <w:t xml:space="preserve">
ПРИЛОЖЕНИЕ № 2           </w:t>
      </w:r>
      <w:r>
        <w:br/>
      </w:r>
      <w:r>
        <w:rPr>
          <w:rFonts w:ascii="Times New Roman"/>
          <w:b w:val="false"/>
          <w:i w:val="false"/>
          <w:color w:val="000000"/>
          <w:sz w:val="28"/>
        </w:rPr>
        <w:t xml:space="preserve">
к Решению Высшего          </w:t>
      </w:r>
      <w:r>
        <w:br/>
      </w:r>
      <w:r>
        <w:rPr>
          <w:rFonts w:ascii="Times New Roman"/>
          <w:b w:val="false"/>
          <w:i w:val="false"/>
          <w:color w:val="000000"/>
          <w:sz w:val="28"/>
        </w:rPr>
        <w:t>
Евразийского экономического совета</w:t>
      </w:r>
      <w:r>
        <w:br/>
      </w:r>
      <w:r>
        <w:rPr>
          <w:rFonts w:ascii="Times New Roman"/>
          <w:b w:val="false"/>
          <w:i w:val="false"/>
          <w:color w:val="000000"/>
          <w:sz w:val="28"/>
        </w:rPr>
        <w:t xml:space="preserve">
на уровне глав государств     </w:t>
      </w:r>
      <w:r>
        <w:br/>
      </w:r>
      <w:r>
        <w:rPr>
          <w:rFonts w:ascii="Times New Roman"/>
          <w:b w:val="false"/>
          <w:i w:val="false"/>
          <w:color w:val="000000"/>
          <w:sz w:val="28"/>
        </w:rPr>
        <w:t xml:space="preserve">
от 2012 г. № 198         </w:t>
      </w:r>
    </w:p>
    <w:bookmarkEnd w:id="13"/>
    <w:bookmarkStart w:name="z22" w:id="14"/>
    <w:p>
      <w:pPr>
        <w:spacing w:after="0"/>
        <w:ind w:left="0"/>
        <w:jc w:val="left"/>
      </w:pPr>
      <w:r>
        <w:rPr>
          <w:rFonts w:ascii="Times New Roman"/>
          <w:b/>
          <w:i w:val="false"/>
          <w:color w:val="000000"/>
        </w:rPr>
        <w:t xml:space="preserve"> 
ПОЗИЦИИ,</w:t>
      </w:r>
      <w:r>
        <w:br/>
      </w:r>
      <w:r>
        <w:rPr>
          <w:rFonts w:ascii="Times New Roman"/>
          <w:b/>
          <w:i w:val="false"/>
          <w:color w:val="000000"/>
        </w:rPr>
        <w:t>
включаемые в Перечень</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27"/>
        <w:gridCol w:w="9413"/>
      </w:tblGrid>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ТН ВЭД</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позиции</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0201 10 000 8</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0201 20 200 8</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0201 20 300 8</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0201 20 500 8</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0201 20 900 8</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0201 30 000 8</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0202 10 000 8</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0202 20 100 8</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0202 20 300 8</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0202 20 500 8</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0202 20 900 8</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0202 30 100 8</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0202 30 500 8</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0202 30 900 8</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прочее:</w:t>
            </w:r>
            <w:r>
              <w:rPr>
                <w:rFonts w:ascii="Times New Roman"/>
                <w:b w:val="false"/>
                <w:i w:val="false"/>
                <w:color w:val="000000"/>
                <w:vertAlign w:val="superscript"/>
              </w:rPr>
              <w:t>1</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0203 29 550 3</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тримминг</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0203 29 550 9</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прочее</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r>
              <w:rPr>
                <w:rFonts w:ascii="Times New Roman"/>
                <w:b w:val="false"/>
                <w:i w:val="false"/>
                <w:color w:val="000000"/>
                <w:vertAlign w:val="superscript"/>
              </w:rPr>
              <w:t>2</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0203 29 900 3</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тримминг</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0203 29 900 9</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0406 90 130</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Эмменталер:</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0406 90 130 1</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содержанием жира 45 мас.% или более при пересчете на сухое вещество, выдержанный в течение трех или более месяцев</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406 90 130 9</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1 августа по 30 ноября:</w:t>
            </w:r>
            <w:r>
              <w:rPr>
                <w:rFonts w:ascii="Times New Roman"/>
                <w:b w:val="false"/>
                <w:i w:val="false"/>
                <w:color w:val="000000"/>
                <w:vertAlign w:val="superscript"/>
              </w:rPr>
              <w:t>3</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0808 10 800 5</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сорта Голден Делишес или Гренни Смит</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0808 10 800 6</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1 декабря по 31 декабря:</w:t>
            </w:r>
            <w:r>
              <w:rPr>
                <w:rFonts w:ascii="Times New Roman"/>
                <w:b w:val="false"/>
                <w:i w:val="false"/>
                <w:color w:val="000000"/>
                <w:vertAlign w:val="superscript"/>
              </w:rPr>
              <w:t>4</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0808 10 800 7</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сорта Голден Делишес или Гренни Смит</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0808 10 800 8</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1512 19 900 2</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подсолнечное масло или его фракции в первичных упаковках нетто-объемом 10 л или менее</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1512 19 900 3</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сафлоровое масло или его фракции в первичных упаковках нетто-объемом 10 л или менее</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1513 11 990 2</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таре нетто-массой 19 000 кг или менее</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1513 11 990 8</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1513 19 190 2</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таре нетто-массой 19 000 кг или менее</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1513 19 190 8</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1513 19 990 2</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таре нетто-массой 19 000 кг или менее</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1513 19 990 8</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1513 21 900 2</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таре нетто-массой 19 000 кг или менее</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1513 21 900 8</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1513 29 190 2</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таре нетто-массой 19 000 кг или менее</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1513 29 190 8</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1513 29 900 2</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таре нетто-массой 19 000 кг или менее</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1513 29 900 8</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2009 11 190 2</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концентрированный, в бочках, цистернах, флекси-танках вместимостью более 40 кг</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2009 11 190 3</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концентрированный, в бочках, цистернах, флекси-танках вместимостью не более 40 кг</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2009 11 190 8</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2009 11 990 3</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концентрированный, с числом Брикса не более 20, в бочках, цистернах, флекси-танках вместимостью не более 40 кг</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2009 11 990 8</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r>
              <w:rPr>
                <w:rFonts w:ascii="Times New Roman"/>
                <w:b w:val="false"/>
                <w:i w:val="false"/>
                <w:color w:val="000000"/>
                <w:vertAlign w:val="superscript"/>
              </w:rPr>
              <w:t>5</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2009 12 000 2</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концентрированный, в бочках, цистернах, флекси-танках вместимостью не более 40 кг</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2009 12 000 8</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2009 19 190 2</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концентрированный, в бочках, цистернах, флекси-танках вместимостью более 40 кг</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2009 19 190 3</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концентрированный, в бочках, цистернах, флекси-танках вместимостью не более 40 кг</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2009 19 190 8</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2009 21 000</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числом Брикса не более 20:</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2009 21 000 1</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концентрированный, в бочках, цистернах, флекси-танках вместимостью не более 40 кг</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2009 21 000 9</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2009 29 190 2</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концентрированный, в бочках, цистернах, флекси-танках вместимостью более 40 кг</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2009 29 190 3</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концентрированный, в бочках, цистернах, флекси-танках вместимостью не более 40 кг</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2009 29 190 8</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2009 31 510</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содержащий добавки сахара:</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2009 31 510 1</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концентрированный, в бочках, цистернах, флекси-танках вместимостью не более 40 кг</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2009 31 510 9</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прочий</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2009 31 590</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содержащий добавок сахара:</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2009 31 590 1</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концентрированный, в бочках, цистернах, флекси-танках вместимостью не более 40 кг</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2009 31 590 9</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прочий</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2009 31 910</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содержащие добавки сахара:</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2009 31 910 1</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концентрированные, в бочках, цистернах, флекси-танках вместимостью не более 40 кг</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2009 31 910 9</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2009 31 990</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содержащие добавок сахара:</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2009 31 990 1</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концентрированные, в бочках, цистернах, флекси-танках вместимостью не более 40 кг</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2009 31 990 9</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2009 39 190 2</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концентрированные, в бочках, цистернах, флекси-танках вместимостью более 40 кг</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2009 39 190 3</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концентрированные, в бочках, цистернах, флекси-танках вместимостью не более 40 кг</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2009 39 190 8</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2009 49 190 2</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концентрированный, в бочках, цистернах, флекси-танках вместимостью более 40 кг</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2009 49 190 3</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концентрированный, в бочках, цистернах, флекси-танках вместимостью не более 40 кг</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2009 49 190 8</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2009 50 900 2</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концентрированный, с числом Брикса не менее 17, но не более 67, стоимостью, превышающей 30 евро за 100 кг нетто-массы, в бочках, цистернах, флекси-танках вместимостью более 40 кг</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2009 50 900 3</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концентрированный, с числом Брикса не менее 17, но не более 67, стоимостью, превышающей 30 евро за 100 кг нетто-массы, в бочках, цистернах, флекси-танках вместимостью не более 40 кг</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2009 50 900 8</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2009 61 100 2</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упаковках объемом не более 0,35 л, для детского питания</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r>
              <w:rPr>
                <w:rFonts w:ascii="Times New Roman"/>
                <w:b w:val="false"/>
                <w:i w:val="false"/>
                <w:color w:val="000000"/>
                <w:vertAlign w:val="superscript"/>
              </w:rPr>
              <w:t>6</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2009 61 100 3</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концентрированный, с числом Брикса не менее 26, стоимостью, превышающей 30 евро за 100 кг нетто-массы, в бочках, цистернах, флекси-танках вместимостью более 40 кг</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2009 61 100 4</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концентрированный, с числом Брикса не более 26, стоимостью, превышающей 30 евро за 100 кг нетто-массы, в бочках, цистернах, флекси-танках вместимостью не более 40 кг</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2009 61 100 7</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r>
              <w:rPr>
                <w:rFonts w:ascii="Times New Roman"/>
                <w:b w:val="false"/>
                <w:i w:val="false"/>
                <w:color w:val="000000"/>
                <w:vertAlign w:val="superscript"/>
              </w:rPr>
              <w:t>7</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2009 71 200 2</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концентрированный, стоимостью, превышающей 30 евро за 100 кг нетто-массы, в бочках, цистернах, флекси-танках вместимостью не более 40 кг</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2009 71 200 8</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2009 71 990</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 содержащий добавок сахара:</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2009 71 990 1</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концентрированный, стоимостью, превышающей 30 евро за 100 кг нетто-массы, в бочках, цистернах, флекси-танках вместимостью не более 40 кг</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2009 71 990 9</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2009 79 190 2</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концентрированный, стоимостью, превышающей 30 евро за 100 кг нетто-массы, в бочках, цистернах, флекси-танках вместимостью более 40 кг</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2009 79 190 3</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концентрированный, стоимостью, превышающей 30 евро за 100 кг нетто-массы, в бочках, цистернах, флекси-танках вместимостью не более 40 кг</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2009 79 190 8</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2009 81 190 2</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концентрированный, в бочках, цистернах, флекси-танках вместимостью более 40 кг</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2009 81 190 3</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концентрированный, в бочках, цистернах, флекси-танках вместимостью не более 40 кг</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2009 81 190 8</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2009 81 310 3</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концентрированный, с числом Брикса не более 20, в бочках, цистернах, флекси-танках вместимостью не более 40 кг</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2009 81 310 8</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2009 89 190 2</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концентрированный, стоимостью, превышающей 30 евро за 100 кг нетто-массы, в бочках, цистернах, флекси-танках вместимостью более 40 кг</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2009 89 190 3</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концентрированный, стоимостью, превышающей 30 евро за 100 кг нетто-массы, в бочках, цистернах, флекси-танках вместимостью не более 40 кг</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2009 89 190 8</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прочий</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2009 89 360 2</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концентрированный, в бочках, цистернах, флекси-танках вместимостью более 40 кг</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2009 89 360 3</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концентрированный, в бочках, цистернах, флекси-танках вместимостью не более 40 кг</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2009 89 360 8</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прочий</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2009 89 380 2</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концентрированный, в бочках, цистернах, флекси-танках вместимостью более 40 кг</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2009 89 380 3</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концентрированный, в бочках, цистернах, флекси-танках вместимостью не более 40 кг</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2009 89 380 8</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прочий</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2009 89 710 3</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концентрированный, с числом Брикса не более 20, в бочках, цистернах, флекси-танках вместимостью не более 40 кг</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2009 89 710 8</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прочий</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2009 89 730 3</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концентрированный, с числом Брикса не более 20, в бочках, цистернах, флекси-танках вместимостью не более 40 кг</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2009 89 730 8</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прочий</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2009 89 790 3</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концентрированный, с числом Брикса не более 20, в бочках, цистернах, флекси-танках вместимостью не более 40 кг</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2009 89 790 8</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прочий</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2009 90 190 2</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концентрированные, стоимостью, превышающей 30 евро за 100 кг нетто-массы, в бочках, цистернах, флекси-танках вместимостью более 40 кг</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2009 90 190 3</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концентрированные, стоимостью, превышающей 30 евро за 100 кг нетто-массы, в бочках, цистернах, флекси-танках вместимостью не более 40 кг</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2009 90 190 8</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2009 90 290 2</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концентрированные, в бочках, цистернах, флекси-танках вместимостью более 40 кг</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2009 90 290 3</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концентрированные, в бочках, цистернах, флекси-танках вместимостью не более 40 кг</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2009 90 290 8</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r>
              <w:rPr>
                <w:rFonts w:ascii="Times New Roman"/>
                <w:b w:val="false"/>
                <w:i w:val="false"/>
                <w:color w:val="000000"/>
                <w:vertAlign w:val="superscript"/>
              </w:rPr>
              <w:t>8</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2009 90 410 4</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концентрированные, с числом Брикса не более 20, в бочках, цистернах, флекси-танках вместимостью не более 40 кг</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2009 90 410 7</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2009 90 490 3</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концентрированные, с числом Брикса не более 20, в бочках, цистернах, флекси-танках вместимостью не более 40 кг</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2009 90 490 8</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r>
              <w:rPr>
                <w:rFonts w:ascii="Times New Roman"/>
                <w:b w:val="false"/>
                <w:i w:val="false"/>
                <w:color w:val="000000"/>
                <w:vertAlign w:val="superscript"/>
              </w:rPr>
              <w:t>9</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2009 90 510 4</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концентрированные, с числом Брикса не более 20, в бочках, цистернах, флекси-танках вместимостью не более 40 кг</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2009 90 510 7</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2009 90 590 3</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концентрированные, с числом Брикса не более 20, в бочках, цистернах, флекси-танках вместимостью не более 40 кг</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2009 90 590 8</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2711 14 000</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этилен, пропилен, бутилен и бутадиен:</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2711 14 000 1</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смесь, содержащая углеводороды С</w:t>
            </w:r>
            <w:r>
              <w:rPr>
                <w:rFonts w:ascii="Times New Roman"/>
                <w:b w:val="false"/>
                <w:i w:val="false"/>
                <w:color w:val="000000"/>
                <w:vertAlign w:val="subscript"/>
              </w:rPr>
              <w:t>4</w:t>
            </w:r>
            <w:r>
              <w:rPr>
                <w:rFonts w:ascii="Times New Roman"/>
                <w:b w:val="false"/>
                <w:i w:val="false"/>
                <w:color w:val="000000"/>
                <w:sz w:val="20"/>
              </w:rPr>
              <w:t xml:space="preserve"> не менее 98 мас.%, бутадиен-1,3 не менее 40 мас.%, но менее 90 мас.%</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2711 14 000 9</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r>
              <w:rPr>
                <w:rFonts w:ascii="Times New Roman"/>
                <w:b w:val="false"/>
                <w:i w:val="false"/>
                <w:color w:val="000000"/>
                <w:vertAlign w:val="superscript"/>
              </w:rPr>
              <w:t>10</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2852 90 000 2</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пептонаты, нуклеопротеиды, протеинаты ртути</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2852 90 000 3</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фотохимикаты (кроме лаков, клеев, адгезивов и аналогичных средств)</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2852 90 000 8</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2901 24 000</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бута-1,3-диен и изопрен:</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2901 24 000 1</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бута-1,3-диен</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2901 24 000 2</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изопрен</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2909 49 800 0</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r>
              <w:rPr>
                <w:rFonts w:ascii="Times New Roman"/>
                <w:b w:val="false"/>
                <w:i w:val="false"/>
                <w:color w:val="000000"/>
                <w:vertAlign w:val="superscript"/>
              </w:rPr>
              <w:t>11</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3910 00 000 2</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силиконовые смолы</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3910 00 000 8</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3917 29 000</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пластмасс:</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3917 29 000 1</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гражданской авиации</w:t>
            </w:r>
            <w:r>
              <w:rPr>
                <w:rFonts w:ascii="Times New Roman"/>
                <w:b w:val="false"/>
                <w:i w:val="false"/>
                <w:color w:val="000000"/>
                <w:vertAlign w:val="superscript"/>
              </w:rPr>
              <w:t>5)</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3917 29 000 9</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технических целей в гражданской</w:t>
            </w:r>
          </w:p>
          <w:p>
            <w:pPr>
              <w:spacing w:after="20"/>
              <w:ind w:left="20"/>
              <w:jc w:val="both"/>
            </w:pPr>
            <w:r>
              <w:rPr>
                <w:rFonts w:ascii="Times New Roman"/>
                <w:b w:val="false"/>
                <w:i w:val="false"/>
                <w:color w:val="000000"/>
                <w:sz w:val="20"/>
              </w:rPr>
              <w:t>авиации:</w:t>
            </w:r>
            <w:r>
              <w:rPr>
                <w:rFonts w:ascii="Times New Roman"/>
                <w:b w:val="false"/>
                <w:i w:val="false"/>
                <w:color w:val="000000"/>
                <w:vertAlign w:val="superscript"/>
              </w:rPr>
              <w:t>12</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4814 90 700</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4814 90 700 1</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обои и аналогичные настенные покрытия, состоящее из бумаги, покрытой с лицевой стороны материалом для плетения, соединенным или не соединенным в параллельные пряди или тканым или нетканым</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4814 90 700 9</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5904 90 000</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5904 90 000 1</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основой из войлока, полученного иглопробивным способом</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5904 90 000 9</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6204 33 900 0</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r>
              <w:rPr>
                <w:rFonts w:ascii="Times New Roman"/>
                <w:b w:val="false"/>
                <w:i w:val="false"/>
                <w:color w:val="000000"/>
                <w:vertAlign w:val="superscript"/>
              </w:rPr>
              <w:t>13</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7304 11 000 3</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наружным диаметром не более 168,3 мм</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7304 11 000 4</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наружным диаметром более 168,3 мм, но не более 406,4 мм</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7304 11 000 8</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наружным диаметром более 406,4 мм</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7304 49 930</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наружным диаметром не более 168,3 мм:</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7304 49 930 1</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гражданской авиации</w:t>
            </w:r>
            <w:r>
              <w:rPr>
                <w:rFonts w:ascii="Times New Roman"/>
                <w:b w:val="false"/>
                <w:i w:val="false"/>
                <w:color w:val="000000"/>
                <w:vertAlign w:val="superscript"/>
              </w:rPr>
              <w:t>5)</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7304 49 930 9</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7304 49 950</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наружным диаметром более 168,3 мм, но не более 406,4 мм:</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7304 49 950 1</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гражданской авиации</w:t>
            </w:r>
            <w:r>
              <w:rPr>
                <w:rFonts w:ascii="Times New Roman"/>
                <w:b w:val="false"/>
                <w:i w:val="false"/>
                <w:color w:val="000000"/>
                <w:vertAlign w:val="superscript"/>
              </w:rPr>
              <w:t>5)</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7304 49 950 9</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7608 20 890 2</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производства авиационных двигателей и гражданских воздушных судов</w:t>
            </w:r>
            <w:r>
              <w:rPr>
                <w:rFonts w:ascii="Times New Roman"/>
                <w:b w:val="false"/>
                <w:i w:val="false"/>
                <w:color w:val="000000"/>
                <w:vertAlign w:val="superscript"/>
              </w:rPr>
              <w:t>5)</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7608 20 890 8</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8408 10 110 0</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морских судов товарных позиций 8901 – 8906,</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буксиров подсубпозиции 8904 00 100 0 и военных кораблей подсубпозиции 8906 10 000</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8408 10 230 0</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морских судов товарных позиций 8901 – 8906, буксиров подсубпозиции 8904 00 100 0 и военных кораблей подсубпозиции 8906 10 000</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8408 10 310 0</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морских судов товарных позиций 8901 – 8906, буксиров подсубпозиции 8904 00 100 0 и военных кораблей подсубпозиции 8906 10 000</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8408 10 410 0</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морских судов товарных позиций 8901 – 8906, буксиров подсубпозиции 8904 00 100 0 и военных кораблей подсубпозиции 8906 10 000</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8408 10 510 0</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морских судов товарных позиций 8901 – 8906, буксиров подсубпозиции 8904 00 100 0 и военных кораблей подсубпозиции 8906 10 000</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8408 10 610 0</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морских судов товарных позиций 8901 – 8906, буксиров подсубпозиции 8904 00 100 0 и военных кораблей подсубпозиции 8906 10 000</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8408 10 710 0</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морских судов товарных позиций 8901 – 8906, буксиров подсубпозиции 8904 00 100 0 и военных кораблей подсубпозиции 8906 10 000</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8408 10 810 0</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морских судов товарных позиций 8901 – 8906, буксиров подсубпозиции 8904 00 100 0 и военных кораблей подсубпозиции 8906 10 000</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8408 10 910 0</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морских судов товарных позиций 8901 – 8906, буксиров подсубпозиции 8904 00 100 0 и военных кораблей подсубпозиции 8906 10 000</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8452 90 000</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основания и футляры, предназначенные специально для швейных машин, и их части; части швейных машин прочие:</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8452 90 000 1</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мебель, основания и футляры, предназначенные специально для швейных машин, и их части</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8452 90 000 2</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 швейных машин прочие</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8462 10 100</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числовым программным управлением:</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8462 10 100 1</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ковочно-штамповочные гидравлические прессы с усилием прессования 200 МН, с возможностью одновременного размещения на рабочем столе трех штампов, оснащенные системой газового нагрева штампов</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8462 10 100 2</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радиально-ковочные гидравлические машины с усилием ковки 12 МН с ковочным узлом, состоящим из размещенных по кругу в вертикальной плоскости четырех пресс-штемпелей</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8462 10 100 9</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8481 10 190 2</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производства авиационных двигателей и гражданских воздушных судов</w:t>
            </w:r>
            <w:r>
              <w:rPr>
                <w:rFonts w:ascii="Times New Roman"/>
                <w:b w:val="false"/>
                <w:i w:val="false"/>
                <w:color w:val="000000"/>
                <w:vertAlign w:val="superscript"/>
              </w:rPr>
              <w:t>5)</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8481 10 190 8</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8481 10 990</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8481 10 990 1</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гражданской авиации</w:t>
            </w:r>
            <w:r>
              <w:rPr>
                <w:rFonts w:ascii="Times New Roman"/>
                <w:b w:val="false"/>
                <w:i w:val="false"/>
                <w:color w:val="000000"/>
                <w:vertAlign w:val="superscript"/>
              </w:rPr>
              <w:t>5)</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8481 10 990 9</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8481 30 990</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8481 30 990 1</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гражданской авиации</w:t>
            </w:r>
            <w:r>
              <w:rPr>
                <w:rFonts w:ascii="Times New Roman"/>
                <w:b w:val="false"/>
                <w:i w:val="false"/>
                <w:color w:val="000000"/>
                <w:vertAlign w:val="superscript"/>
              </w:rPr>
              <w:t>5)</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8481 30 990 9</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r>
              <w:rPr>
                <w:rFonts w:ascii="Times New Roman"/>
                <w:b w:val="false"/>
                <w:i w:val="false"/>
                <w:color w:val="000000"/>
                <w:vertAlign w:val="superscript"/>
              </w:rPr>
              <w:t>14</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8481 80 850 7</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гражданской авиации</w:t>
            </w:r>
            <w:r>
              <w:rPr>
                <w:rFonts w:ascii="Times New Roman"/>
                <w:b w:val="false"/>
                <w:i w:val="false"/>
                <w:color w:val="000000"/>
                <w:vertAlign w:val="superscript"/>
              </w:rPr>
              <w:t>5)</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8481 80 850 8</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8501 10 100</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синхронные двигатели мощностью не более 18 Вт:</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8501 10 100 1</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гражданской авиации</w:t>
            </w:r>
            <w:r>
              <w:rPr>
                <w:rFonts w:ascii="Times New Roman"/>
                <w:b w:val="false"/>
                <w:i w:val="false"/>
                <w:color w:val="000000"/>
                <w:vertAlign w:val="superscript"/>
              </w:rPr>
              <w:t>5)</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8501 10 100 9</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асинхронные с высотой оси вращения 250 мм:</w:t>
            </w:r>
            <w:r>
              <w:rPr>
                <w:rFonts w:ascii="Times New Roman"/>
                <w:b w:val="false"/>
                <w:i w:val="false"/>
                <w:color w:val="000000"/>
                <w:vertAlign w:val="superscript"/>
              </w:rPr>
              <w:t>15</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8501 40 200 3</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гражданской авиации</w:t>
            </w:r>
            <w:r>
              <w:rPr>
                <w:rFonts w:ascii="Times New Roman"/>
                <w:b w:val="false"/>
                <w:i w:val="false"/>
                <w:color w:val="000000"/>
                <w:vertAlign w:val="superscript"/>
              </w:rPr>
              <w:t>5)</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8501 40 200 4</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8504 23 000</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мощностью более 10 000 кВА:</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8504 23 000 1</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148 000 кВА</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8504 23 000 9</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r>
              <w:rPr>
                <w:rFonts w:ascii="Times New Roman"/>
                <w:b w:val="false"/>
                <w:i w:val="false"/>
                <w:color w:val="000000"/>
                <w:vertAlign w:val="superscript"/>
              </w:rPr>
              <w:t>16</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8504 40 880 2</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входным напряжением постоянного тока не менее 2 кВ, но не более 4 кВ, содержащие четыре выходных канала с суммарной мощностью 386 кВА и с выходными напряжениями переменного тока на одном из каналов 380 В/50 Гц, на другом 456 В/60 Гц и на двух каналах или 380 В/50 Гц, или 240 В/40 Гц, или 95 В/25 Гц</w:t>
            </w:r>
            <w:r>
              <w:rPr>
                <w:rFonts w:ascii="Times New Roman"/>
                <w:b w:val="false"/>
                <w:i w:val="false"/>
                <w:color w:val="000000"/>
                <w:vertAlign w:val="superscript"/>
              </w:rPr>
              <w:t>13)</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8504 40 880 8</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прочие:17</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8504 40 900 2</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входным напряжением постоянного тока 3 кВ или входным напряжением переменного тока 1659 В/50 Гц, содержащие 2 выходных канала с широтно-импульсной модуляцией частотой от 0 до 190 Гц, напряжением 2340 В и выходной мощностью 1200 кВт в каждом</w:t>
            </w:r>
            <w:r>
              <w:rPr>
                <w:rFonts w:ascii="Times New Roman"/>
                <w:b w:val="false"/>
                <w:i w:val="false"/>
                <w:color w:val="000000"/>
                <w:vertAlign w:val="superscript"/>
              </w:rPr>
              <w:t>13)</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8504 40 900 8</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8525 60 000</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передающая, включающая в свой состав приемную аппаратуру:</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8525 60 000 1</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гражданской авиации</w:t>
            </w:r>
            <w:r>
              <w:rPr>
                <w:rFonts w:ascii="Times New Roman"/>
                <w:b w:val="false"/>
                <w:i w:val="false"/>
                <w:color w:val="000000"/>
                <w:vertAlign w:val="superscript"/>
              </w:rPr>
              <w:t>5)</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8525 60 000 9</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8701 20 901 4</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момента выпуска которых прошло более 7 лет</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8701 20 901 5</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момента выпуска которых прошло более 5 лет, но не более 7 лет</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8702 10 192 3</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момента выпуска которых прошло более 7 лет</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8702 10 192 4</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момента выпуска которых прошло более 5 лет, но не более 7 лет</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8702 10 199 4</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момента выпуска которых прошло более 7 лет</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8702 10 199 5</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момента выпуска которых прошло более 5 лет, но не более 7 лет</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8702 10 992 3</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момента выпуска которых прошло более 7 лет</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8702 10 992 4</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момента выпуска которых прошло более 5 лет, но не более 7 лет</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8702 10 999 3</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момента выпуска которых прошло более 7 лет</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8702 10 999 4</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момента выпуска которых прошло более 5 лет, но не более 7 лет</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8702 90 192 3</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7 лет</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8702 90 192 4</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5 лет, но не более 7 лет</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8702 90 199 4</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7 лет</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8702 90 199 5</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5 лет, но не более 7 лет</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8702 90 392 3</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7 лет</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8702 90 392 4</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5 лет, но не более 7 лет</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8702 90 399 3</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7 лет</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8702 90 399 4</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5 лет, но не более 7 лет</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8703 21 909 3</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 момента выпуска которых прошло более 7 лет</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8703 21 909 4</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 момента выпуска которых прошло более 5 лет, но не более 7 лет</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8703 22 909 3</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 момента выпуска которых прошло более 7 лет</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8703 22 909 4</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момента выпуска которых прошло более 5 лет, но не более 7 лет</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8703 23 901 3</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 момента выпуска которых прошло более 7 лет</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8703 23 901 4</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 момента выпуска которых прошло более 5 лет, но не более 7 лет</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8703 23 902 2</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 момента выпуска которых прошло более 7 лет</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8703 23 902 3</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 момента выпуска которых</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прошло более 5 лет, но не более 7 лет</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8703 23 902 7</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 момента выпуска которых прошло более 7 лет</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8703 23 902 8</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 момента выпуска которых прошло более 5 лет, но не более 7 лет</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8703 23 902 9</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8703 24 909 3</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 момента выпуска которых прошло более 7 лет</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8703 24 909 4</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 момента выпуска которых прошло более 5 лет, но не более 7 лет</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8703 31 909 3</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 момента выпуска которых прошло более 7 лет</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8703 31 909 4</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 момента выпуска которых прошло более 5 лет, но не более 7 лет</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8703 32 909 3</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 момента выпуска которых прошло более 7 лет</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8703 32 909 4</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 момента выпуска которых прошло более 5 лет, но не более 7 лет</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8703 33 909 3</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 момента выпуска которых прошло более 7 лет</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8703 33 909 4</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 момента выпуска которых прошло более 5 лет, но не более 7 лет</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8704 21 390 3</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7 лет</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8704 21 390 4</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5 лет, но не более 7 лет</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8704 21 990 3</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7 лет</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8704 21 990 4</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5 лет, но не более 7 лет</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8704 22 910 2</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подъемным механизмом ножничного типа, оборудованным кузовом, предназначенным для перевозки, перемещения в самолет и из него кресел-каталок и/или носилок с пассажирами, не способными передвигаться, или без них, и лиц, их сопровождающих, и оснащенным системами вентиляции, отопления и освещения, окнами, многофункциональными устройствами крепления для кресел-каталок и/или носилок, поручнями, расположенными по обеим сторонам вдоль всего кузова, с количеством установленных мест не более двух для сидения сопровождающих</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8704 22 910 8</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8704 22 990 4</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7 лет</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8704 22 990 5</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5 лет, но не более 7 лет</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8704 23 990 4</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момента выпуска которых прошло более 7 лет</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8704 23 990 5</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момента выпуска которых прошло более 5 лет, но не более 7 лет</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8704 31 390 3</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7 лет</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8704 31 390 4</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5 лет, но не более 7 лет</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8704 31 990 3</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7 лет</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8704 31 990 4</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5 лет, но не более 7 лет</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8704 32 990 4</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7 лет</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8704 32 990 5</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5 лет, но не более 7 лет</w:t>
            </w:r>
          </w:p>
        </w:tc>
      </w:tr>
    </w:tbl>
    <w:p>
      <w:pPr>
        <w:spacing w:after="0"/>
        <w:ind w:left="0"/>
        <w:jc w:val="both"/>
      </w:pPr>
      <w:r>
        <w:rPr>
          <w:rFonts w:ascii="Times New Roman"/>
          <w:b w:val="false"/>
          <w:i w:val="false"/>
          <w:color w:val="000000"/>
          <w:sz w:val="28"/>
        </w:rPr>
        <w:t>______________________________________________________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xml:space="preserve"> Бескодовая позиция после позиции 0203 29 550.</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 xml:space="preserve"> Бескодовая позиция после позиции 0203 29 900.</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val="false"/>
          <w:i w:val="false"/>
          <w:color w:val="000000"/>
          <w:sz w:val="28"/>
        </w:rPr>
        <w:t xml:space="preserve"> Бескодовая позиция после позиции 0808 10 800 3.</w:t>
      </w:r>
      <w:r>
        <w:br/>
      </w:r>
      <w:r>
        <w:rPr>
          <w:rFonts w:ascii="Times New Roman"/>
          <w:b w:val="false"/>
          <w:i w:val="false"/>
          <w:color w:val="000000"/>
          <w:sz w:val="28"/>
        </w:rPr>
        <w:t>
</w:t>
      </w:r>
      <w:r>
        <w:rPr>
          <w:rFonts w:ascii="Times New Roman"/>
          <w:b w:val="false"/>
          <w:i w:val="false"/>
          <w:color w:val="000000"/>
          <w:vertAlign w:val="superscript"/>
        </w:rPr>
        <w:t>4</w:t>
      </w:r>
      <w:r>
        <w:rPr>
          <w:rFonts w:ascii="Times New Roman"/>
          <w:b w:val="false"/>
          <w:i w:val="false"/>
          <w:color w:val="000000"/>
          <w:sz w:val="28"/>
        </w:rPr>
        <w:t xml:space="preserve"> Бескодовая позиция после позиции 0808 10 800 6.</w:t>
      </w:r>
      <w:r>
        <w:br/>
      </w:r>
      <w:r>
        <w:rPr>
          <w:rFonts w:ascii="Times New Roman"/>
          <w:b w:val="false"/>
          <w:i w:val="false"/>
          <w:color w:val="000000"/>
          <w:sz w:val="28"/>
        </w:rPr>
        <w:t>
</w:t>
      </w:r>
      <w:r>
        <w:rPr>
          <w:rFonts w:ascii="Times New Roman"/>
          <w:b w:val="false"/>
          <w:i w:val="false"/>
          <w:color w:val="000000"/>
          <w:vertAlign w:val="superscript"/>
        </w:rPr>
        <w:t>5</w:t>
      </w:r>
      <w:r>
        <w:rPr>
          <w:rFonts w:ascii="Times New Roman"/>
          <w:b w:val="false"/>
          <w:i w:val="false"/>
          <w:color w:val="000000"/>
          <w:sz w:val="28"/>
        </w:rPr>
        <w:t xml:space="preserve"> Бескодовая позиция после позиции 2009 12 000 1.</w:t>
      </w:r>
      <w:r>
        <w:br/>
      </w:r>
      <w:r>
        <w:rPr>
          <w:rFonts w:ascii="Times New Roman"/>
          <w:b w:val="false"/>
          <w:i w:val="false"/>
          <w:color w:val="000000"/>
          <w:sz w:val="28"/>
        </w:rPr>
        <w:t>
</w:t>
      </w:r>
      <w:r>
        <w:rPr>
          <w:rFonts w:ascii="Times New Roman"/>
          <w:b w:val="false"/>
          <w:i w:val="false"/>
          <w:color w:val="000000"/>
          <w:vertAlign w:val="superscript"/>
        </w:rPr>
        <w:t>6</w:t>
      </w:r>
      <w:r>
        <w:rPr>
          <w:rFonts w:ascii="Times New Roman"/>
          <w:b w:val="false"/>
          <w:i w:val="false"/>
          <w:color w:val="000000"/>
          <w:sz w:val="28"/>
        </w:rPr>
        <w:t xml:space="preserve"> Бескодовая позиция после позиции 2009 61 100 2.</w:t>
      </w:r>
      <w:r>
        <w:br/>
      </w:r>
      <w:r>
        <w:rPr>
          <w:rFonts w:ascii="Times New Roman"/>
          <w:b w:val="false"/>
          <w:i w:val="false"/>
          <w:color w:val="000000"/>
          <w:sz w:val="28"/>
        </w:rPr>
        <w:t>
</w:t>
      </w:r>
      <w:r>
        <w:rPr>
          <w:rFonts w:ascii="Times New Roman"/>
          <w:b w:val="false"/>
          <w:i w:val="false"/>
          <w:color w:val="000000"/>
          <w:vertAlign w:val="superscript"/>
        </w:rPr>
        <w:t>7</w:t>
      </w:r>
      <w:r>
        <w:rPr>
          <w:rFonts w:ascii="Times New Roman"/>
          <w:b w:val="false"/>
          <w:i w:val="false"/>
          <w:color w:val="000000"/>
          <w:sz w:val="28"/>
        </w:rPr>
        <w:t xml:space="preserve"> Бескодовая позиция после позиции 2009 71 200 1.</w:t>
      </w:r>
      <w:r>
        <w:br/>
      </w:r>
      <w:r>
        <w:rPr>
          <w:rFonts w:ascii="Times New Roman"/>
          <w:b w:val="false"/>
          <w:i w:val="false"/>
          <w:color w:val="000000"/>
          <w:sz w:val="28"/>
        </w:rPr>
        <w:t>
</w:t>
      </w:r>
      <w:r>
        <w:rPr>
          <w:rFonts w:ascii="Times New Roman"/>
          <w:b w:val="false"/>
          <w:i w:val="false"/>
          <w:color w:val="000000"/>
          <w:vertAlign w:val="superscript"/>
        </w:rPr>
        <w:t>8</w:t>
      </w:r>
      <w:r>
        <w:rPr>
          <w:rFonts w:ascii="Times New Roman"/>
          <w:b w:val="false"/>
          <w:i w:val="false"/>
          <w:color w:val="000000"/>
          <w:sz w:val="28"/>
        </w:rPr>
        <w:t xml:space="preserve"> Бескодовая позиция после позиции 2009 90 410 2.</w:t>
      </w:r>
      <w:r>
        <w:br/>
      </w:r>
      <w:r>
        <w:rPr>
          <w:rFonts w:ascii="Times New Roman"/>
          <w:b w:val="false"/>
          <w:i w:val="false"/>
          <w:color w:val="000000"/>
          <w:sz w:val="28"/>
        </w:rPr>
        <w:t>
</w:t>
      </w:r>
      <w:r>
        <w:rPr>
          <w:rFonts w:ascii="Times New Roman"/>
          <w:b w:val="false"/>
          <w:i w:val="false"/>
          <w:color w:val="000000"/>
          <w:vertAlign w:val="superscript"/>
        </w:rPr>
        <w:t>9</w:t>
      </w:r>
      <w:r>
        <w:rPr>
          <w:rFonts w:ascii="Times New Roman"/>
          <w:b w:val="false"/>
          <w:i w:val="false"/>
          <w:color w:val="000000"/>
          <w:sz w:val="28"/>
        </w:rPr>
        <w:t xml:space="preserve"> Бескодовая позиция после позиции 2009 90 510 2.</w:t>
      </w:r>
      <w:r>
        <w:br/>
      </w:r>
      <w:r>
        <w:rPr>
          <w:rFonts w:ascii="Times New Roman"/>
          <w:b w:val="false"/>
          <w:i w:val="false"/>
          <w:color w:val="000000"/>
          <w:sz w:val="28"/>
        </w:rPr>
        <w:t>
</w:t>
      </w:r>
      <w:r>
        <w:rPr>
          <w:rFonts w:ascii="Times New Roman"/>
          <w:b w:val="false"/>
          <w:i w:val="false"/>
          <w:color w:val="000000"/>
          <w:vertAlign w:val="superscript"/>
        </w:rPr>
        <w:t>10</w:t>
      </w:r>
      <w:r>
        <w:rPr>
          <w:rFonts w:ascii="Times New Roman"/>
          <w:b w:val="false"/>
          <w:i w:val="false"/>
          <w:color w:val="000000"/>
          <w:sz w:val="28"/>
        </w:rPr>
        <w:t xml:space="preserve"> Бескодовая позиция после позиции 2852 90 000 1.</w:t>
      </w:r>
      <w:r>
        <w:br/>
      </w:r>
      <w:r>
        <w:rPr>
          <w:rFonts w:ascii="Times New Roman"/>
          <w:b w:val="false"/>
          <w:i w:val="false"/>
          <w:color w:val="000000"/>
          <w:sz w:val="28"/>
        </w:rPr>
        <w:t>
</w:t>
      </w:r>
      <w:r>
        <w:rPr>
          <w:rFonts w:ascii="Times New Roman"/>
          <w:b w:val="false"/>
          <w:i w:val="false"/>
          <w:color w:val="000000"/>
          <w:vertAlign w:val="superscript"/>
        </w:rPr>
        <w:t>11</w:t>
      </w:r>
      <w:r>
        <w:rPr>
          <w:rFonts w:ascii="Times New Roman"/>
          <w:b w:val="false"/>
          <w:i w:val="false"/>
          <w:color w:val="000000"/>
          <w:sz w:val="28"/>
        </w:rPr>
        <w:t xml:space="preserve"> Бескодовая позиция после позиции 3910 00 000 1.</w:t>
      </w:r>
      <w:r>
        <w:br/>
      </w:r>
      <w:r>
        <w:rPr>
          <w:rFonts w:ascii="Times New Roman"/>
          <w:b w:val="false"/>
          <w:i w:val="false"/>
          <w:color w:val="000000"/>
          <w:sz w:val="28"/>
        </w:rPr>
        <w:t>
</w:t>
      </w:r>
      <w:r>
        <w:rPr>
          <w:rFonts w:ascii="Times New Roman"/>
          <w:b w:val="false"/>
          <w:i w:val="false"/>
          <w:color w:val="000000"/>
          <w:vertAlign w:val="superscript"/>
        </w:rPr>
        <w:t>12</w:t>
      </w:r>
      <w:r>
        <w:rPr>
          <w:rFonts w:ascii="Times New Roman"/>
          <w:b w:val="false"/>
          <w:i w:val="false"/>
          <w:color w:val="000000"/>
          <w:sz w:val="28"/>
        </w:rPr>
        <w:t xml:space="preserve"> Бескодовая позиция после позиции 3926 90 970 3.</w:t>
      </w:r>
      <w:r>
        <w:br/>
      </w:r>
      <w:r>
        <w:rPr>
          <w:rFonts w:ascii="Times New Roman"/>
          <w:b w:val="false"/>
          <w:i w:val="false"/>
          <w:color w:val="000000"/>
          <w:sz w:val="28"/>
        </w:rPr>
        <w:t>
</w:t>
      </w:r>
      <w:r>
        <w:rPr>
          <w:rFonts w:ascii="Times New Roman"/>
          <w:b w:val="false"/>
          <w:i w:val="false"/>
          <w:color w:val="000000"/>
          <w:vertAlign w:val="superscript"/>
        </w:rPr>
        <w:t>13</w:t>
      </w:r>
      <w:r>
        <w:rPr>
          <w:rFonts w:ascii="Times New Roman"/>
          <w:b w:val="false"/>
          <w:i w:val="false"/>
          <w:color w:val="000000"/>
          <w:sz w:val="28"/>
        </w:rPr>
        <w:t xml:space="preserve"> Бескодовая позиция после позиции 7304 11 000 2.</w:t>
      </w:r>
      <w:r>
        <w:br/>
      </w:r>
      <w:r>
        <w:rPr>
          <w:rFonts w:ascii="Times New Roman"/>
          <w:b w:val="false"/>
          <w:i w:val="false"/>
          <w:color w:val="000000"/>
          <w:sz w:val="28"/>
        </w:rPr>
        <w:t>
</w:t>
      </w:r>
      <w:r>
        <w:rPr>
          <w:rFonts w:ascii="Times New Roman"/>
          <w:b w:val="false"/>
          <w:i w:val="false"/>
          <w:color w:val="000000"/>
          <w:vertAlign w:val="superscript"/>
        </w:rPr>
        <w:t>14</w:t>
      </w:r>
      <w:r>
        <w:rPr>
          <w:rFonts w:ascii="Times New Roman"/>
          <w:b w:val="false"/>
          <w:i w:val="false"/>
          <w:color w:val="000000"/>
          <w:sz w:val="28"/>
        </w:rPr>
        <w:t xml:space="preserve"> Бескодовая позиция после позиции 8481 80 850 2.</w:t>
      </w:r>
      <w:r>
        <w:br/>
      </w:r>
      <w:r>
        <w:rPr>
          <w:rFonts w:ascii="Times New Roman"/>
          <w:b w:val="false"/>
          <w:i w:val="false"/>
          <w:color w:val="000000"/>
          <w:sz w:val="28"/>
        </w:rPr>
        <w:t>
</w:t>
      </w:r>
      <w:r>
        <w:rPr>
          <w:rFonts w:ascii="Times New Roman"/>
          <w:b w:val="false"/>
          <w:i w:val="false"/>
          <w:color w:val="000000"/>
          <w:vertAlign w:val="superscript"/>
        </w:rPr>
        <w:t>15</w:t>
      </w:r>
      <w:r>
        <w:rPr>
          <w:rFonts w:ascii="Times New Roman"/>
          <w:b w:val="false"/>
          <w:i w:val="false"/>
          <w:color w:val="000000"/>
          <w:sz w:val="28"/>
        </w:rPr>
        <w:t xml:space="preserve"> Бескодовая позиция после бескодовой позиции «– – – прочие:», следующей после позиции 8501 40 200 1.</w:t>
      </w:r>
      <w:r>
        <w:br/>
      </w:r>
      <w:r>
        <w:rPr>
          <w:rFonts w:ascii="Times New Roman"/>
          <w:b w:val="false"/>
          <w:i w:val="false"/>
          <w:color w:val="000000"/>
          <w:sz w:val="28"/>
        </w:rPr>
        <w:t>
</w:t>
      </w:r>
      <w:r>
        <w:rPr>
          <w:rFonts w:ascii="Times New Roman"/>
          <w:b w:val="false"/>
          <w:i w:val="false"/>
          <w:color w:val="000000"/>
          <w:vertAlign w:val="superscript"/>
        </w:rPr>
        <w:t>16</w:t>
      </w:r>
      <w:r>
        <w:rPr>
          <w:rFonts w:ascii="Times New Roman"/>
          <w:b w:val="false"/>
          <w:i w:val="false"/>
          <w:color w:val="000000"/>
          <w:sz w:val="28"/>
        </w:rPr>
        <w:t xml:space="preserve"> Бескодовая позиция после позиции 8504 40 880 1.</w:t>
      </w:r>
      <w:r>
        <w:br/>
      </w:r>
      <w:r>
        <w:rPr>
          <w:rFonts w:ascii="Times New Roman"/>
          <w:b w:val="false"/>
          <w:i w:val="false"/>
          <w:color w:val="000000"/>
          <w:sz w:val="28"/>
        </w:rPr>
        <w:t>
</w:t>
      </w:r>
      <w:r>
        <w:rPr>
          <w:rFonts w:ascii="Times New Roman"/>
          <w:b w:val="false"/>
          <w:i w:val="false"/>
          <w:color w:val="000000"/>
          <w:vertAlign w:val="superscript"/>
        </w:rPr>
        <w:t>17</w:t>
      </w:r>
      <w:r>
        <w:rPr>
          <w:rFonts w:ascii="Times New Roman"/>
          <w:b w:val="false"/>
          <w:i w:val="false"/>
          <w:color w:val="000000"/>
          <w:sz w:val="28"/>
        </w:rPr>
        <w:t xml:space="preserve"> Бескодовая позиция после позиции 8504 40 900 1.</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