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62c7" w14:textId="0726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метода вычитания (метод 4) при определении таможенной стоимости товаров</w:t>
      </w:r>
    </w:p>
    <w:p>
      <w:pPr>
        <w:spacing w:after="0"/>
        <w:ind w:left="0"/>
        <w:jc w:val="both"/>
      </w:pPr>
      <w:r>
        <w:rPr>
          <w:rFonts w:ascii="Times New Roman"/>
          <w:b w:val="false"/>
          <w:i w:val="false"/>
          <w:color w:val="000000"/>
          <w:sz w:val="28"/>
        </w:rPr>
        <w:t>Решение Коллегии Евразийской экономической комиссии от 13 ноября 2012 года № 214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 Соглашения об определении таможенной стоимости товаров, перемещаемых через таможенную границу Таможенного союза от 25 января 2008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метода вычитания (метод 4) при определении таможенной стоимости товаров.</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13 ноября 2012 г. № 214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применения метода вычитания (метод 4) при определении таможенной стоимости товаров</w:t>
      </w:r>
    </w:p>
    <w:bookmarkEnd w:id="2"/>
    <w:bookmarkStart w:name="z6" w:id="3"/>
    <w:p>
      <w:pPr>
        <w:spacing w:after="0"/>
        <w:ind w:left="0"/>
        <w:jc w:val="both"/>
      </w:pPr>
      <w:r>
        <w:rPr>
          <w:rFonts w:ascii="Times New Roman"/>
          <w:b w:val="false"/>
          <w:i w:val="false"/>
          <w:color w:val="000000"/>
          <w:sz w:val="28"/>
        </w:rPr>
        <w:t>
      1. Настоящие Правила используются при применении метода вычитания (метод 4), установленного </w:t>
      </w:r>
      <w:r>
        <w:rPr>
          <w:rFonts w:ascii="Times New Roman"/>
          <w:b w:val="false"/>
          <w:i w:val="false"/>
          <w:color w:val="000000"/>
          <w:sz w:val="28"/>
        </w:rPr>
        <w:t>статьей 8</w:t>
      </w:r>
      <w:r>
        <w:rPr>
          <w:rFonts w:ascii="Times New Roman"/>
          <w:b w:val="false"/>
          <w:i w:val="false"/>
          <w:color w:val="000000"/>
          <w:sz w:val="28"/>
        </w:rPr>
        <w:t xml:space="preserve"> Соглашения об определении таможенной стоимости товаров, перемещаемых через таможенную границу Таможенного союза от 25 января 2008 года (далее – Соглашение). </w:t>
      </w:r>
      <w:r>
        <w:br/>
      </w:r>
      <w:r>
        <w:rPr>
          <w:rFonts w:ascii="Times New Roman"/>
          <w:b w:val="false"/>
          <w:i w:val="false"/>
          <w:color w:val="000000"/>
          <w:sz w:val="28"/>
        </w:rPr>
        <w:t>
</w:t>
      </w:r>
      <w:r>
        <w:rPr>
          <w:rFonts w:ascii="Times New Roman"/>
          <w:b w:val="false"/>
          <w:i w:val="false"/>
          <w:color w:val="000000"/>
          <w:sz w:val="28"/>
        </w:rPr>
        <w:t xml:space="preserve">
      2. Настоящие Правила разработаны на основе положений Соглашения, Соглашения по применению статьи VII Генерального соглашения по тарифам и торговле 1994 года, включая Пояснительные примечания к нему, а также материалов Технического комитета по таможенной оценке Всемирной таможенной организации с целью обеспечения единообразного применения метода 4. </w:t>
      </w:r>
      <w:r>
        <w:br/>
      </w:r>
      <w:r>
        <w:rPr>
          <w:rFonts w:ascii="Times New Roman"/>
          <w:b w:val="false"/>
          <w:i w:val="false"/>
          <w:color w:val="000000"/>
          <w:sz w:val="28"/>
        </w:rPr>
        <w:t>
</w:t>
      </w:r>
      <w:r>
        <w:rPr>
          <w:rFonts w:ascii="Times New Roman"/>
          <w:b w:val="false"/>
          <w:i w:val="false"/>
          <w:color w:val="000000"/>
          <w:sz w:val="28"/>
        </w:rPr>
        <w:t>
      Метод 4 применяется, если таможенная стоимость товаров, ввозимых на единую таможенную территорию Таможенного союза (далее – таможенная территория Таможенного союза), не может быть определена в соответствии со </w:t>
      </w:r>
      <w:r>
        <w:rPr>
          <w:rFonts w:ascii="Times New Roman"/>
          <w:b w:val="false"/>
          <w:i w:val="false"/>
          <w:color w:val="000000"/>
          <w:sz w:val="28"/>
        </w:rPr>
        <w:t>статьями 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Соглашения. </w:t>
      </w:r>
      <w:r>
        <w:br/>
      </w:r>
      <w:r>
        <w:rPr>
          <w:rFonts w:ascii="Times New Roman"/>
          <w:b w:val="false"/>
          <w:i w:val="false"/>
          <w:color w:val="000000"/>
          <w:sz w:val="28"/>
        </w:rPr>
        <w:t>
</w:t>
      </w:r>
      <w:r>
        <w:rPr>
          <w:rFonts w:ascii="Times New Roman"/>
          <w:b w:val="false"/>
          <w:i w:val="false"/>
          <w:color w:val="000000"/>
          <w:sz w:val="28"/>
        </w:rPr>
        <w:t>
      Таможенная стоимость оцениваемых (ввозимых) товаров определяется по методу 4 в случае, когда оцениваемые (ввозимые) либо идентичные или однородные им товары продаются на таможенной территории Таможенного союза в том же состоянии, в котором они были ввезены на эту территорию. В случае отсутствия таких продаж по заявлению декларанта (таможенного представителя) рассматриваются согласно </w:t>
      </w:r>
      <w:r>
        <w:rPr>
          <w:rFonts w:ascii="Times New Roman"/>
          <w:b w:val="false"/>
          <w:i w:val="false"/>
          <w:color w:val="000000"/>
          <w:sz w:val="28"/>
        </w:rPr>
        <w:t>пункту 4</w:t>
      </w:r>
      <w:r>
        <w:rPr>
          <w:rFonts w:ascii="Times New Roman"/>
          <w:b w:val="false"/>
          <w:i w:val="false"/>
          <w:color w:val="000000"/>
          <w:sz w:val="28"/>
        </w:rPr>
        <w:t xml:space="preserve"> статьи 8 Соглашения продажи переработанных (обработанных) оцениваемых (ввезенных) товаров, за исключением случаев,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8 Соглашения.</w:t>
      </w:r>
      <w:r>
        <w:br/>
      </w:r>
      <w:r>
        <w:rPr>
          <w:rFonts w:ascii="Times New Roman"/>
          <w:b w:val="false"/>
          <w:i w:val="false"/>
          <w:color w:val="000000"/>
          <w:sz w:val="28"/>
        </w:rPr>
        <w:t>
</w:t>
      </w:r>
      <w:r>
        <w:rPr>
          <w:rFonts w:ascii="Times New Roman"/>
          <w:b w:val="false"/>
          <w:i w:val="false"/>
          <w:color w:val="000000"/>
          <w:sz w:val="28"/>
        </w:rPr>
        <w:t>
      4. Для целей определения таможенной стоимости по методу 4 товары могут рассматриваться как находящиеся в том же состоянии, в котором они были ввезены на таможенную территорию Таможенного союза, в том числе в тех случаях, когда они претерпели следующие изменения:</w:t>
      </w:r>
      <w:r>
        <w:br/>
      </w:r>
      <w:r>
        <w:rPr>
          <w:rFonts w:ascii="Times New Roman"/>
          <w:b w:val="false"/>
          <w:i w:val="false"/>
          <w:color w:val="000000"/>
          <w:sz w:val="28"/>
        </w:rPr>
        <w:t>
</w:t>
      </w:r>
      <w:r>
        <w:rPr>
          <w:rFonts w:ascii="Times New Roman"/>
          <w:b w:val="false"/>
          <w:i w:val="false"/>
          <w:color w:val="000000"/>
          <w:sz w:val="28"/>
        </w:rPr>
        <w:t>
      усушка;</w:t>
      </w:r>
      <w:r>
        <w:br/>
      </w:r>
      <w:r>
        <w:rPr>
          <w:rFonts w:ascii="Times New Roman"/>
          <w:b w:val="false"/>
          <w:i w:val="false"/>
          <w:color w:val="000000"/>
          <w:sz w:val="28"/>
        </w:rPr>
        <w:t>
</w:t>
      </w:r>
      <w:r>
        <w:rPr>
          <w:rFonts w:ascii="Times New Roman"/>
          <w:b w:val="false"/>
          <w:i w:val="false"/>
          <w:color w:val="000000"/>
          <w:sz w:val="28"/>
        </w:rPr>
        <w:t>
      утруска;</w:t>
      </w:r>
      <w:r>
        <w:br/>
      </w:r>
      <w:r>
        <w:rPr>
          <w:rFonts w:ascii="Times New Roman"/>
          <w:b w:val="false"/>
          <w:i w:val="false"/>
          <w:color w:val="000000"/>
          <w:sz w:val="28"/>
        </w:rPr>
        <w:t>
</w:t>
      </w:r>
      <w:r>
        <w:rPr>
          <w:rFonts w:ascii="Times New Roman"/>
          <w:b w:val="false"/>
          <w:i w:val="false"/>
          <w:color w:val="000000"/>
          <w:sz w:val="28"/>
        </w:rPr>
        <w:t>
      естественное испарение (для жидкостей);</w:t>
      </w:r>
      <w:r>
        <w:br/>
      </w:r>
      <w:r>
        <w:rPr>
          <w:rFonts w:ascii="Times New Roman"/>
          <w:b w:val="false"/>
          <w:i w:val="false"/>
          <w:color w:val="000000"/>
          <w:sz w:val="28"/>
        </w:rPr>
        <w:t>
</w:t>
      </w:r>
      <w:r>
        <w:rPr>
          <w:rFonts w:ascii="Times New Roman"/>
          <w:b w:val="false"/>
          <w:i w:val="false"/>
          <w:color w:val="000000"/>
          <w:sz w:val="28"/>
        </w:rPr>
        <w:t>
      появление небольшой ржавчины;</w:t>
      </w:r>
      <w:r>
        <w:br/>
      </w:r>
      <w:r>
        <w:rPr>
          <w:rFonts w:ascii="Times New Roman"/>
          <w:b w:val="false"/>
          <w:i w:val="false"/>
          <w:color w:val="000000"/>
          <w:sz w:val="28"/>
        </w:rPr>
        <w:t>
</w:t>
      </w:r>
      <w:r>
        <w:rPr>
          <w:rFonts w:ascii="Times New Roman"/>
          <w:b w:val="false"/>
          <w:i w:val="false"/>
          <w:color w:val="000000"/>
          <w:sz w:val="28"/>
        </w:rPr>
        <w:t>
      получение незначительных повреждений, не отражающихся на характеристиках товаров, влияющих на их стоимость.</w:t>
      </w:r>
      <w:r>
        <w:br/>
      </w:r>
      <w:r>
        <w:rPr>
          <w:rFonts w:ascii="Times New Roman"/>
          <w:b w:val="false"/>
          <w:i w:val="false"/>
          <w:color w:val="000000"/>
          <w:sz w:val="28"/>
        </w:rPr>
        <w:t>
</w:t>
      </w:r>
      <w:r>
        <w:rPr>
          <w:rFonts w:ascii="Times New Roman"/>
          <w:b w:val="false"/>
          <w:i w:val="false"/>
          <w:color w:val="000000"/>
          <w:sz w:val="28"/>
        </w:rPr>
        <w:t>
      Товары также рассматриваются как находящиеся в том же состоянии, в котором они были ввезены на таможенную территорию Таможенного союза, если в отношении их были произведены операции по удалению упаковочных материалов и (или) консервантов перед продажей на внутреннем рынке Таможенного союза.</w:t>
      </w:r>
      <w:r>
        <w:br/>
      </w:r>
      <w:r>
        <w:rPr>
          <w:rFonts w:ascii="Times New Roman"/>
          <w:b w:val="false"/>
          <w:i w:val="false"/>
          <w:color w:val="000000"/>
          <w:sz w:val="28"/>
        </w:rPr>
        <w:t>
</w:t>
      </w:r>
      <w:r>
        <w:rPr>
          <w:rFonts w:ascii="Times New Roman"/>
          <w:b w:val="false"/>
          <w:i w:val="false"/>
          <w:color w:val="000000"/>
          <w:sz w:val="28"/>
        </w:rPr>
        <w:t>
      5. В качестве основы для определения таможенной стоимости оцениваемых (ввозимых) товаров принимается цена единицы товара, по которой наибольшее совокупное количество оцениваемых (ввозимых) либо идентичных или однородных товаров продается лицам, не являющимся взаимосвязанными с лицами, осуществляющими такую продажу на таможенной территории Таможенного союза в тот же или соответствующий ему период времени, в который оцениваемые (ввозимые) товары пересекали таможенную границу Таможенного союза (</w:t>
      </w:r>
      <w:r>
        <w:rPr>
          <w:rFonts w:ascii="Times New Roman"/>
          <w:b w:val="false"/>
          <w:i w:val="false"/>
          <w:color w:val="000000"/>
          <w:sz w:val="28"/>
        </w:rPr>
        <w:t>пункт 2</w:t>
      </w:r>
      <w:r>
        <w:br/>
      </w:r>
      <w:r>
        <w:rPr>
          <w:rFonts w:ascii="Times New Roman"/>
          <w:b w:val="false"/>
          <w:i w:val="false"/>
          <w:color w:val="000000"/>
          <w:sz w:val="28"/>
        </w:rPr>
        <w:t>
статьи 8 Соглашения).</w:t>
      </w:r>
      <w:r>
        <w:br/>
      </w:r>
      <w:r>
        <w:rPr>
          <w:rFonts w:ascii="Times New Roman"/>
          <w:b w:val="false"/>
          <w:i w:val="false"/>
          <w:color w:val="000000"/>
          <w:sz w:val="28"/>
        </w:rPr>
        <w:t>
</w:t>
      </w:r>
      <w:r>
        <w:rPr>
          <w:rFonts w:ascii="Times New Roman"/>
          <w:b w:val="false"/>
          <w:i w:val="false"/>
          <w:color w:val="000000"/>
          <w:sz w:val="28"/>
        </w:rPr>
        <w:t>
      Понятие «взаимосвязанные лица» используется в значении,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3 Соглашения.</w:t>
      </w:r>
      <w:r>
        <w:br/>
      </w:r>
      <w:r>
        <w:rPr>
          <w:rFonts w:ascii="Times New Roman"/>
          <w:b w:val="false"/>
          <w:i w:val="false"/>
          <w:color w:val="000000"/>
          <w:sz w:val="28"/>
        </w:rPr>
        <w:t>
</w:t>
      </w:r>
      <w:r>
        <w:rPr>
          <w:rFonts w:ascii="Times New Roman"/>
          <w:b w:val="false"/>
          <w:i w:val="false"/>
          <w:color w:val="000000"/>
          <w:sz w:val="28"/>
        </w:rPr>
        <w:t>
      6. При решении вопроса о том, продажи каких товаров (оцениваемых (ввозимых) либо идентичных или однородных товаров) следует рассматривать для определения цены единицы товара, учитывается следующее.</w:t>
      </w:r>
      <w:r>
        <w:br/>
      </w:r>
      <w:r>
        <w:rPr>
          <w:rFonts w:ascii="Times New Roman"/>
          <w:b w:val="false"/>
          <w:i w:val="false"/>
          <w:color w:val="000000"/>
          <w:sz w:val="28"/>
        </w:rPr>
        <w:t>
</w:t>
      </w:r>
      <w:r>
        <w:rPr>
          <w:rFonts w:ascii="Times New Roman"/>
          <w:b w:val="false"/>
          <w:i w:val="false"/>
          <w:color w:val="000000"/>
          <w:sz w:val="28"/>
        </w:rPr>
        <w:t>
      При наличии на день определения таможенной стоимости оцениваемых (ввозимых) товаров сведений об их продажах на таможенной территории Таможенного союза, приемлемых для целей определения таможенной стоимости, используются соответствующие сведения о цене единицы товара и суммах в отношении оцениваемых (ввозимых) товаров, подлежащих вычету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Соглашения. В этом случае не требуется рассматривать продажи идентичных или однородных товаров.</w:t>
      </w:r>
      <w:r>
        <w:br/>
      </w:r>
      <w:r>
        <w:rPr>
          <w:rFonts w:ascii="Times New Roman"/>
          <w:b w:val="false"/>
          <w:i w:val="false"/>
          <w:color w:val="000000"/>
          <w:sz w:val="28"/>
        </w:rPr>
        <w:t>
</w:t>
      </w:r>
      <w:r>
        <w:rPr>
          <w:rFonts w:ascii="Times New Roman"/>
          <w:b w:val="false"/>
          <w:i w:val="false"/>
          <w:color w:val="000000"/>
          <w:sz w:val="28"/>
        </w:rPr>
        <w:t>
      Если на день определения таможенной стоимости оцениваемых (ввозимых) товаров отсутствуют сведения об их продажах на таможенной территории Таможенного союза, но при этом имеются сведения о продажах идентичных или однородных товаров, используются соответствующие сведения об этих продажах. В этом случае не требуется рассматривать будущие продажи оцениваемых (ввозимых) товаров.</w:t>
      </w:r>
      <w:r>
        <w:br/>
      </w:r>
      <w:r>
        <w:rPr>
          <w:rFonts w:ascii="Times New Roman"/>
          <w:b w:val="false"/>
          <w:i w:val="false"/>
          <w:color w:val="000000"/>
          <w:sz w:val="28"/>
        </w:rPr>
        <w:t>
</w:t>
      </w:r>
      <w:r>
        <w:rPr>
          <w:rFonts w:ascii="Times New Roman"/>
          <w:b w:val="false"/>
          <w:i w:val="false"/>
          <w:color w:val="000000"/>
          <w:sz w:val="28"/>
        </w:rPr>
        <w:t>
      Таким образом, в качестве основы для определения таможенной стоимости оцениваемых (ввозимых) товаров используется цена единицы товара, по которой продаются оцениваемые (ввозимые) товары, либо цена единицы товара, по которой продаются ранее ввезенные идентичные или однородные с оцениваемыми (ввозимыми) товары.</w:t>
      </w:r>
      <w:r>
        <w:br/>
      </w:r>
      <w:r>
        <w:rPr>
          <w:rFonts w:ascii="Times New Roman"/>
          <w:b w:val="false"/>
          <w:i w:val="false"/>
          <w:color w:val="000000"/>
          <w:sz w:val="28"/>
        </w:rPr>
        <w:t>
</w:t>
      </w:r>
      <w:r>
        <w:rPr>
          <w:rFonts w:ascii="Times New Roman"/>
          <w:b w:val="false"/>
          <w:i w:val="false"/>
          <w:color w:val="000000"/>
          <w:sz w:val="28"/>
        </w:rPr>
        <w:t>
      Как правило, таможенная стоимость оцениваемых (ввозимых) товаров определяется декларантом (таможенным представителем) на основе цены единицы товара, по которой оцениваемые (ввозимые) товары продаются на таможенной территории Таможенного союза, либо на основе цены единицы товара, по которой декларантом были проданы ранее ввезенные идентичные или однородные с оцениваемыми (ввозимыми) товары, то есть используются документы, содержащие сведения по предыдущим поставкам декларанта.</w:t>
      </w:r>
      <w:r>
        <w:br/>
      </w:r>
      <w:r>
        <w:rPr>
          <w:rFonts w:ascii="Times New Roman"/>
          <w:b w:val="false"/>
          <w:i w:val="false"/>
          <w:color w:val="000000"/>
          <w:sz w:val="28"/>
        </w:rPr>
        <w:t>
</w:t>
      </w:r>
      <w:r>
        <w:rPr>
          <w:rFonts w:ascii="Times New Roman"/>
          <w:b w:val="false"/>
          <w:i w:val="false"/>
          <w:color w:val="000000"/>
          <w:sz w:val="28"/>
        </w:rPr>
        <w:t>
      Документы о продажах на таможенной территории Таможенного союза ранее ввезенных идентичных или однородных с оцениваемыми (ввозимыми) товаров другими хозяйствующими субъектами в большинстве случаев недоступны для декларанта. Однако если в распоряжении декларанта имеются такие документы и информация, содержащаяся в них, соответствует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2 Соглашения, таможенная стоимость оцениваемых (ввозимых) товаров может быть определена по методу 4 при условии выполнения требований, установленных </w:t>
      </w:r>
      <w:r>
        <w:rPr>
          <w:rFonts w:ascii="Times New Roman"/>
          <w:b w:val="false"/>
          <w:i w:val="false"/>
          <w:color w:val="000000"/>
          <w:sz w:val="28"/>
        </w:rPr>
        <w:t>статьей 8</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xml:space="preserve">
      7. При рассмотрении продаж, удовлетворяющих условиям, указанным в пункте 6 настоящих Правил, для целей определения таможенной стоимости товаров по методу 4 принимаются во внимание продажи товаров на таможенной территории Таможенного союза покупателям первого коммерческого уровня продаж после ввоза товаров на таможенную территорию Таможенного союза. </w:t>
      </w:r>
      <w:r>
        <w:br/>
      </w:r>
      <w:r>
        <w:rPr>
          <w:rFonts w:ascii="Times New Roman"/>
          <w:b w:val="false"/>
          <w:i w:val="false"/>
          <w:color w:val="000000"/>
          <w:sz w:val="28"/>
        </w:rPr>
        <w:t>
</w:t>
      </w:r>
      <w:r>
        <w:rPr>
          <w:rFonts w:ascii="Times New Roman"/>
          <w:b w:val="false"/>
          <w:i w:val="false"/>
          <w:color w:val="000000"/>
          <w:sz w:val="28"/>
        </w:rPr>
        <w:t>
      8. Покупателями первого коммерческого уровня продаж на таможенной территории Таможенного союза являются покупатели, приобретающие товары у продавца, являющегося импортером этих товаров (</w:t>
      </w:r>
      <w:r>
        <w:rPr>
          <w:rFonts w:ascii="Times New Roman"/>
          <w:b w:val="false"/>
          <w:i w:val="false"/>
          <w:color w:val="000000"/>
          <w:sz w:val="28"/>
        </w:rPr>
        <w:t>схема 1</w:t>
      </w:r>
      <w:r>
        <w:rPr>
          <w:rFonts w:ascii="Times New Roman"/>
          <w:b w:val="false"/>
          <w:i w:val="false"/>
          <w:color w:val="000000"/>
          <w:sz w:val="28"/>
        </w:rPr>
        <w:t>).</w:t>
      </w:r>
    </w:p>
    <w:bookmarkEnd w:id="3"/>
    <w:bookmarkStart w:name="z27" w:id="4"/>
    <w:p>
      <w:pPr>
        <w:spacing w:after="0"/>
        <w:ind w:left="0"/>
        <w:jc w:val="both"/>
      </w:pPr>
      <w:r>
        <w:rPr>
          <w:rFonts w:ascii="Times New Roman"/>
          <w:b w:val="false"/>
          <w:i w:val="false"/>
          <w:color w:val="000000"/>
          <w:sz w:val="28"/>
        </w:rPr>
        <w:t>
Схема 1</w:t>
      </w:r>
    </w:p>
    <w:bookmarkEnd w:id="4"/>
    <w:p>
      <w:pPr>
        <w:spacing w:after="0"/>
        <w:ind w:left="0"/>
        <w:jc w:val="both"/>
      </w:pPr>
      <w:r>
        <w:drawing>
          <wp:inline distT="0" distB="0" distL="0" distR="0">
            <wp:extent cx="83693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69300" cy="3365500"/>
                    </a:xfrm>
                    <a:prstGeom prst="rect">
                      <a:avLst/>
                    </a:prstGeom>
                  </pic:spPr>
                </pic:pic>
              </a:graphicData>
            </a:graphic>
          </wp:inline>
        </w:drawing>
      </w:r>
    </w:p>
    <w:bookmarkStart w:name="z28" w:id="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Э – продавец (экспортер) товаров;</w:t>
      </w:r>
      <w:r>
        <w:br/>
      </w:r>
      <w:r>
        <w:rPr>
          <w:rFonts w:ascii="Times New Roman"/>
          <w:b w:val="false"/>
          <w:i w:val="false"/>
          <w:color w:val="000000"/>
          <w:sz w:val="28"/>
        </w:rPr>
        <w:t>
</w:t>
      </w:r>
      <w:r>
        <w:rPr>
          <w:rFonts w:ascii="Times New Roman"/>
          <w:b w:val="false"/>
          <w:i w:val="false"/>
          <w:color w:val="000000"/>
          <w:sz w:val="28"/>
        </w:rPr>
        <w:t>
      И – покупатель (импортер) товаров, который на таможенной территории Таможенного союза является продавцом товаров;</w:t>
      </w:r>
      <w:r>
        <w:br/>
      </w:r>
      <w:r>
        <w:rPr>
          <w:rFonts w:ascii="Times New Roman"/>
          <w:b w:val="false"/>
          <w:i w:val="false"/>
          <w:color w:val="000000"/>
          <w:sz w:val="28"/>
        </w:rPr>
        <w:t>
</w:t>
      </w:r>
      <w:r>
        <w:rPr>
          <w:rFonts w:ascii="Times New Roman"/>
          <w:b w:val="false"/>
          <w:i w:val="false"/>
          <w:color w:val="000000"/>
          <w:sz w:val="28"/>
        </w:rPr>
        <w:t>
      П1 – покупатели, приобретающие товары на таможенной территории Таможенного союза непосредственно у И, то есть покупатели первого коммерческого уровня продаж;</w:t>
      </w:r>
      <w:r>
        <w:br/>
      </w:r>
      <w:r>
        <w:rPr>
          <w:rFonts w:ascii="Times New Roman"/>
          <w:b w:val="false"/>
          <w:i w:val="false"/>
          <w:color w:val="000000"/>
          <w:sz w:val="28"/>
        </w:rPr>
        <w:t>
</w:t>
      </w:r>
      <w:r>
        <w:rPr>
          <w:rFonts w:ascii="Times New Roman"/>
          <w:b w:val="false"/>
          <w:i w:val="false"/>
          <w:color w:val="000000"/>
          <w:sz w:val="28"/>
        </w:rPr>
        <w:t>
      П2 – покупатели, приобретающие товары на таможенной территории Таможенного союза у П1, то есть на следующем коммерческом уровне продаж.</w:t>
      </w:r>
      <w:r>
        <w:br/>
      </w:r>
      <w:r>
        <w:rPr>
          <w:rFonts w:ascii="Times New Roman"/>
          <w:b w:val="false"/>
          <w:i w:val="false"/>
          <w:color w:val="000000"/>
          <w:sz w:val="28"/>
        </w:rPr>
        <w:t>
</w:t>
      </w:r>
      <w:r>
        <w:rPr>
          <w:rFonts w:ascii="Times New Roman"/>
          <w:b w:val="false"/>
          <w:i w:val="false"/>
          <w:color w:val="000000"/>
          <w:sz w:val="28"/>
        </w:rPr>
        <w:t>
      При этом П1 и И не должны являться взаимосвязанными лицами.</w:t>
      </w:r>
      <w:r>
        <w:br/>
      </w:r>
      <w:r>
        <w:rPr>
          <w:rFonts w:ascii="Times New Roman"/>
          <w:b w:val="false"/>
          <w:i w:val="false"/>
          <w:color w:val="000000"/>
          <w:sz w:val="28"/>
        </w:rPr>
        <w:t>
</w:t>
      </w:r>
      <w:r>
        <w:rPr>
          <w:rFonts w:ascii="Times New Roman"/>
          <w:b w:val="false"/>
          <w:i w:val="false"/>
          <w:color w:val="000000"/>
          <w:sz w:val="28"/>
        </w:rPr>
        <w:t>
      9. Для целей определения цены единицы товара, проданного на таможенной территории Таможенного союза, не рассматриваются продажи лицу, которое в связи с производством и поставкой для вывоза на таможенную территорию Таможенного союза оцениваемых (ввозимых) товаров прямо или косвенно, бесплатно или по сниженной цене предоставляет для использования следующие товары и услуги,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5 Соглашения:</w:t>
      </w:r>
      <w:r>
        <w:br/>
      </w:r>
      <w:r>
        <w:rPr>
          <w:rFonts w:ascii="Times New Roman"/>
          <w:b w:val="false"/>
          <w:i w:val="false"/>
          <w:color w:val="000000"/>
          <w:sz w:val="28"/>
        </w:rPr>
        <w:t>
</w:t>
      </w:r>
      <w:r>
        <w:rPr>
          <w:rFonts w:ascii="Times New Roman"/>
          <w:b w:val="false"/>
          <w:i w:val="false"/>
          <w:color w:val="000000"/>
          <w:sz w:val="28"/>
        </w:rPr>
        <w:t>
      а) сырье, материалы, детали, полуфабрикаты и тому подобные предметы, из которых состоят оцениваемые (ввозимые) товары;</w:t>
      </w:r>
      <w:r>
        <w:br/>
      </w:r>
      <w:r>
        <w:rPr>
          <w:rFonts w:ascii="Times New Roman"/>
          <w:b w:val="false"/>
          <w:i w:val="false"/>
          <w:color w:val="000000"/>
          <w:sz w:val="28"/>
        </w:rPr>
        <w:t>
</w:t>
      </w:r>
      <w:r>
        <w:rPr>
          <w:rFonts w:ascii="Times New Roman"/>
          <w:b w:val="false"/>
          <w:i w:val="false"/>
          <w:color w:val="000000"/>
          <w:sz w:val="28"/>
        </w:rPr>
        <w:t>
      б) инструменты, штампы, формы и другие подобные предметы, использованные при производстве оцениваемых (ввозимых) товаров;</w:t>
      </w:r>
      <w:r>
        <w:br/>
      </w:r>
      <w:r>
        <w:rPr>
          <w:rFonts w:ascii="Times New Roman"/>
          <w:b w:val="false"/>
          <w:i w:val="false"/>
          <w:color w:val="000000"/>
          <w:sz w:val="28"/>
        </w:rPr>
        <w:t>
</w:t>
      </w:r>
      <w:r>
        <w:rPr>
          <w:rFonts w:ascii="Times New Roman"/>
          <w:b w:val="false"/>
          <w:i w:val="false"/>
          <w:color w:val="000000"/>
          <w:sz w:val="28"/>
        </w:rPr>
        <w:t>
      в) материалы, израсходованные при производстве оцениваемых (ввозимых) товаров;</w:t>
      </w:r>
      <w:r>
        <w:br/>
      </w:r>
      <w:r>
        <w:rPr>
          <w:rFonts w:ascii="Times New Roman"/>
          <w:b w:val="false"/>
          <w:i w:val="false"/>
          <w:color w:val="000000"/>
          <w:sz w:val="28"/>
        </w:rPr>
        <w:t>
</w:t>
      </w:r>
      <w:r>
        <w:rPr>
          <w:rFonts w:ascii="Times New Roman"/>
          <w:b w:val="false"/>
          <w:i w:val="false"/>
          <w:color w:val="000000"/>
          <w:sz w:val="28"/>
        </w:rPr>
        <w:t>
      г)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Таможенного союза и необходимые для производства оцениваемых (ввозимых) товаров.</w:t>
      </w:r>
      <w:r>
        <w:br/>
      </w:r>
      <w:r>
        <w:rPr>
          <w:rFonts w:ascii="Times New Roman"/>
          <w:b w:val="false"/>
          <w:i w:val="false"/>
          <w:color w:val="000000"/>
          <w:sz w:val="28"/>
        </w:rPr>
        <w:t>
</w:t>
      </w:r>
      <w:r>
        <w:rPr>
          <w:rFonts w:ascii="Times New Roman"/>
          <w:b w:val="false"/>
          <w:i w:val="false"/>
          <w:color w:val="000000"/>
          <w:sz w:val="28"/>
        </w:rPr>
        <w:t>
      10. Расчет цены единицы товара, по которой оцениваемые (ввозимые) либо идентичные или однородные товары продаются в наибольшем совокупном количестве, осуществляется следующим образом.</w:t>
      </w:r>
      <w:r>
        <w:br/>
      </w:r>
      <w:r>
        <w:rPr>
          <w:rFonts w:ascii="Times New Roman"/>
          <w:b w:val="false"/>
          <w:i w:val="false"/>
          <w:color w:val="000000"/>
          <w:sz w:val="28"/>
        </w:rPr>
        <w:t>
</w:t>
      </w:r>
      <w:r>
        <w:rPr>
          <w:rFonts w:ascii="Times New Roman"/>
          <w:b w:val="false"/>
          <w:i w:val="false"/>
          <w:color w:val="000000"/>
          <w:sz w:val="28"/>
        </w:rPr>
        <w:t>
      Для целей определения наибольшего совокупного количества единиц товара выбираются продажи оцениваемых (ввозимых) либо идентичных или однородных товаров покупателям первого коммерческого уровня продаж на таможенной территории Таможенного союза и рассчитывается общее количество товаров, проданных по одной и той же цене за единицу товара.</w:t>
      </w:r>
      <w:r>
        <w:br/>
      </w:r>
      <w:r>
        <w:rPr>
          <w:rFonts w:ascii="Times New Roman"/>
          <w:b w:val="false"/>
          <w:i w:val="false"/>
          <w:color w:val="000000"/>
          <w:sz w:val="28"/>
        </w:rPr>
        <w:t>
</w:t>
      </w:r>
      <w:r>
        <w:rPr>
          <w:rFonts w:ascii="Times New Roman"/>
          <w:b w:val="false"/>
          <w:i w:val="false"/>
          <w:color w:val="000000"/>
          <w:sz w:val="28"/>
        </w:rPr>
        <w:t>
      Если по разным ценам за единицу товара было продано одинаковое количество товаров, то в качестве основы для определения таможенной стоимости принимается самая низкая цена за единицу товара.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Из партии в 2 000 единиц товара 1 000 единиц товара проданы по цене 75 денежных единиц, а другие 1 000 единиц – по цене 70 денежных единиц. Для целей определения таможенной стоимости оцениваемых (ввозимых) товаров принимается цена, равная 70 денежным единицам.</w:t>
      </w:r>
      <w:r>
        <w:br/>
      </w:r>
      <w:r>
        <w:rPr>
          <w:rFonts w:ascii="Times New Roman"/>
          <w:b w:val="false"/>
          <w:i w:val="false"/>
          <w:color w:val="000000"/>
          <w:sz w:val="28"/>
        </w:rPr>
        <w:t>
</w:t>
      </w:r>
      <w:r>
        <w:rPr>
          <w:rFonts w:ascii="Times New Roman"/>
          <w:b w:val="false"/>
          <w:i w:val="false"/>
          <w:color w:val="000000"/>
          <w:sz w:val="28"/>
        </w:rPr>
        <w:t>
      11. Конкретный вариант определения наибольшего совокупного количества единиц товара зависит от применяемой продавцом схемы ценообразования на продаваемые товары и организации продаж.</w:t>
      </w:r>
      <w:r>
        <w:br/>
      </w:r>
      <w:r>
        <w:rPr>
          <w:rFonts w:ascii="Times New Roman"/>
          <w:b w:val="false"/>
          <w:i w:val="false"/>
          <w:color w:val="000000"/>
          <w:sz w:val="28"/>
        </w:rPr>
        <w:t>
</w:t>
      </w:r>
      <w:r>
        <w:rPr>
          <w:rFonts w:ascii="Times New Roman"/>
          <w:b w:val="false"/>
          <w:i w:val="false"/>
          <w:color w:val="000000"/>
          <w:sz w:val="28"/>
        </w:rPr>
        <w:t>
      В частности, могут использоваться следующие варианты расчета цены единицы товара исходя из наибольшего совокупного количества единиц товара, проданных по одной и той же цене.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1. На таможенной территории Таможенного союза продаются товары по каталогу (прайс-листу, прейскуранту), в котором предусмотрены более выгодные цены за единицу товара при покупках, осуществляемых в больших количествах.</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293"/>
        <w:gridCol w:w="3793"/>
        <w:gridCol w:w="399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проданных</w:t>
            </w:r>
            <w:r>
              <w:br/>
            </w:r>
            <w:r>
              <w:rPr>
                <w:rFonts w:ascii="Times New Roman"/>
                <w:b w:val="false"/>
                <w:i w:val="false"/>
                <w:color w:val="000000"/>
                <w:sz w:val="20"/>
              </w:rPr>
              <w:t>
</w:t>
            </w:r>
            <w:r>
              <w:rPr>
                <w:rFonts w:ascii="Times New Roman"/>
                <w:b w:val="false"/>
                <w:i w:val="false"/>
                <w:color w:val="000000"/>
                <w:sz w:val="20"/>
              </w:rPr>
              <w:t>единиц товара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w:t>
            </w:r>
            <w:r>
              <w:rPr>
                <w:rFonts w:ascii="Times New Roman"/>
                <w:b w:val="false"/>
                <w:i w:val="false"/>
                <w:color w:val="000000"/>
                <w:sz w:val="20"/>
              </w:rPr>
              <w:t>единицу</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(денежных</w:t>
            </w:r>
            <w:r>
              <w:br/>
            </w:r>
            <w:r>
              <w:rPr>
                <w:rFonts w:ascii="Times New Roman"/>
                <w:b w:val="false"/>
                <w:i w:val="false"/>
                <w:color w:val="000000"/>
                <w:sz w:val="20"/>
              </w:rPr>
              <w:t>
</w:t>
            </w:r>
            <w:r>
              <w:rPr>
                <w:rFonts w:ascii="Times New Roman"/>
                <w:b w:val="false"/>
                <w:i w:val="false"/>
                <w:color w:val="000000"/>
                <w:sz w:val="20"/>
              </w:rPr>
              <w:t>единиц)</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продаж</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единиц</w:t>
            </w:r>
            <w:r>
              <w:br/>
            </w:r>
            <w:r>
              <w:rPr>
                <w:rFonts w:ascii="Times New Roman"/>
                <w:b w:val="false"/>
                <w:i w:val="false"/>
                <w:color w:val="000000"/>
                <w:sz w:val="20"/>
              </w:rPr>
              <w:t>
</w:t>
            </w:r>
            <w:r>
              <w:rPr>
                <w:rFonts w:ascii="Times New Roman"/>
                <w:b w:val="false"/>
                <w:i w:val="false"/>
                <w:color w:val="000000"/>
                <w:sz w:val="20"/>
              </w:rPr>
              <w:t>товара, проданных</w:t>
            </w:r>
            <w:r>
              <w:br/>
            </w:r>
            <w:r>
              <w:rPr>
                <w:rFonts w:ascii="Times New Roman"/>
                <w:b w:val="false"/>
                <w:i w:val="false"/>
                <w:color w:val="000000"/>
                <w:sz w:val="20"/>
              </w:rPr>
              <w:t>
</w:t>
            </w:r>
            <w:r>
              <w:rPr>
                <w:rFonts w:ascii="Times New Roman"/>
                <w:b w:val="false"/>
                <w:i w:val="false"/>
                <w:color w:val="000000"/>
                <w:sz w:val="20"/>
              </w:rPr>
              <w:t>по одной цене</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 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продаж по 5</w:t>
            </w:r>
            <w:r>
              <w:br/>
            </w:r>
            <w:r>
              <w:rPr>
                <w:rFonts w:ascii="Times New Roman"/>
                <w:b w:val="false"/>
                <w:i w:val="false"/>
                <w:color w:val="000000"/>
                <w:sz w:val="20"/>
              </w:rPr>
              <w:t>
</w:t>
            </w:r>
            <w:r>
              <w:rPr>
                <w:rFonts w:ascii="Times New Roman"/>
                <w:b w:val="false"/>
                <w:i w:val="false"/>
                <w:color w:val="000000"/>
                <w:sz w:val="20"/>
              </w:rPr>
              <w:t>единиц товара,</w:t>
            </w:r>
            <w:r>
              <w:br/>
            </w:r>
            <w:r>
              <w:rPr>
                <w:rFonts w:ascii="Times New Roman"/>
                <w:b w:val="false"/>
                <w:i w:val="false"/>
                <w:color w:val="000000"/>
                <w:sz w:val="20"/>
              </w:rPr>
              <w:t>
</w:t>
            </w:r>
            <w:r>
              <w:rPr>
                <w:rFonts w:ascii="Times New Roman"/>
                <w:b w:val="false"/>
                <w:i w:val="false"/>
                <w:color w:val="000000"/>
                <w:sz w:val="20"/>
              </w:rPr>
              <w:t>5 продаж по 3</w:t>
            </w:r>
            <w:r>
              <w:br/>
            </w:r>
            <w:r>
              <w:rPr>
                <w:rFonts w:ascii="Times New Roman"/>
                <w:b w:val="false"/>
                <w:i w:val="false"/>
                <w:color w:val="000000"/>
                <w:sz w:val="20"/>
              </w:rPr>
              <w:t>
</w:t>
            </w:r>
            <w:r>
              <w:rPr>
                <w:rFonts w:ascii="Times New Roman"/>
                <w:b w:val="false"/>
                <w:i w:val="false"/>
                <w:color w:val="000000"/>
                <w:sz w:val="20"/>
              </w:rPr>
              <w:t>единицы товара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продаж по 11 единиц</w:t>
            </w:r>
            <w:r>
              <w:br/>
            </w:r>
            <w:r>
              <w:rPr>
                <w:rFonts w:ascii="Times New Roman"/>
                <w:b w:val="false"/>
                <w:i w:val="false"/>
                <w:color w:val="000000"/>
                <w:sz w:val="20"/>
              </w:rPr>
              <w:t>
</w:t>
            </w:r>
            <w:r>
              <w:rPr>
                <w:rFonts w:ascii="Times New Roman"/>
                <w:b w:val="false"/>
                <w:i w:val="false"/>
                <w:color w:val="000000"/>
                <w:sz w:val="20"/>
              </w:rPr>
              <w:t>товара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продажа по 30 единиц</w:t>
            </w:r>
            <w:r>
              <w:br/>
            </w:r>
            <w:r>
              <w:rPr>
                <w:rFonts w:ascii="Times New Roman"/>
                <w:b w:val="false"/>
                <w:i w:val="false"/>
                <w:color w:val="000000"/>
                <w:sz w:val="20"/>
              </w:rPr>
              <w:t>
</w:t>
            </w:r>
            <w:r>
              <w:rPr>
                <w:rFonts w:ascii="Times New Roman"/>
                <w:b w:val="false"/>
                <w:i w:val="false"/>
                <w:color w:val="000000"/>
                <w:sz w:val="20"/>
              </w:rPr>
              <w:t>товара, 1 продажа по 50</w:t>
            </w:r>
            <w:r>
              <w:br/>
            </w:r>
            <w:r>
              <w:rPr>
                <w:rFonts w:ascii="Times New Roman"/>
                <w:b w:val="false"/>
                <w:i w:val="false"/>
                <w:color w:val="000000"/>
                <w:sz w:val="20"/>
              </w:rPr>
              <w:t>
</w:t>
            </w:r>
            <w:r>
              <w:rPr>
                <w:rFonts w:ascii="Times New Roman"/>
                <w:b w:val="false"/>
                <w:i w:val="false"/>
                <w:color w:val="000000"/>
                <w:sz w:val="20"/>
              </w:rPr>
              <w:t>единиц товара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46" w:id="6"/>
    <w:p>
      <w:pPr>
        <w:spacing w:after="0"/>
        <w:ind w:left="0"/>
        <w:jc w:val="both"/>
      </w:pPr>
      <w:r>
        <w:rPr>
          <w:rFonts w:ascii="Times New Roman"/>
          <w:b w:val="false"/>
          <w:i w:val="false"/>
          <w:color w:val="000000"/>
          <w:sz w:val="28"/>
        </w:rPr>
        <w:t>
      Наибольшее количество единиц товара, проданных по одной цене, составляет 80 (30 единиц + 50 единиц). Таким образом, цена единицы товара, по которой товары продаются в наибольшем совокупном количестве, составляет 90 денежных единиц.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2. Имеется информация по двум продажам – в первом случае 500 единиц товара проданы по цене 95 денежных единиц, во втором – 400 единиц товара проданы по цене 90 денежных единиц. Наибольшее количество единиц товара, проданных по одной цене, равняется 500. Таким образом, цена единицы товара, по которой товары продаются в наибольшем совокупном количестве, составляет 95 денежных единиц.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Пример 3. Разное количество товара продано по разным ценам.</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6973"/>
      </w:tblGrid>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Количество проданных единиц товара</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Цена за единицу товара</w:t>
            </w:r>
            <w:r>
              <w:br/>
            </w:r>
            <w:r>
              <w:rPr>
                <w:rFonts w:ascii="Times New Roman"/>
                <w:b w:val="false"/>
                <w:i w:val="false"/>
                <w:color w:val="000000"/>
                <w:sz w:val="20"/>
              </w:rPr>
              <w:t>
</w:t>
            </w:r>
            <w:r>
              <w:rPr>
                <w:rFonts w:ascii="Times New Roman"/>
                <w:b w:val="false"/>
                <w:i/>
                <w:color w:val="000000"/>
                <w:sz w:val="20"/>
              </w:rPr>
              <w:t>(денежных единиц)</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9" w:id="7"/>
    <w:p>
      <w:pPr>
        <w:spacing w:after="0"/>
        <w:ind w:left="0"/>
        <w:jc w:val="both"/>
      </w:pPr>
      <w:r>
        <w:rPr>
          <w:rFonts w:ascii="Times New Roman"/>
          <w:b w:val="false"/>
          <w:i w:val="false"/>
          <w:color w:val="000000"/>
          <w:sz w:val="28"/>
        </w:rPr>
        <w:t>
</w:t>
      </w:r>
      <w:r>
        <w:rPr>
          <w:rFonts w:ascii="Times New Roman"/>
          <w:b w:val="false"/>
          <w:i/>
          <w:color w:val="000000"/>
          <w:sz w:val="28"/>
        </w:rPr>
        <w:t>Общее количество единиц товара, проданных по одной цене, определяется следующим образом: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6973"/>
      </w:tblGrid>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Суммарное количество единиц товара, проданных по одной цене</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Цена за единицу товара (денежных единиц)</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(30+35)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(40+15+5)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bookmarkStart w:name="z50" w:id="8"/>
    <w:p>
      <w:pPr>
        <w:spacing w:after="0"/>
        <w:ind w:left="0"/>
        <w:jc w:val="both"/>
      </w:pPr>
      <w:r>
        <w:rPr>
          <w:rFonts w:ascii="Times New Roman"/>
          <w:b w:val="false"/>
          <w:i w:val="false"/>
          <w:color w:val="000000"/>
          <w:sz w:val="28"/>
        </w:rPr>
        <w:t>     
</w:t>
      </w:r>
      <w:r>
        <w:rPr>
          <w:rFonts w:ascii="Times New Roman"/>
          <w:b w:val="false"/>
          <w:i/>
          <w:color w:val="000000"/>
          <w:sz w:val="28"/>
        </w:rPr>
        <w:t>  В этом случае наибольшее совокупное количество единиц товара, проданных по одной цене, составляет 65 единиц. Таким образом, цена единицы товара, по которой товары продаются в наибольшем совокупном количестве, составляет 95 денежных единиц.</w:t>
      </w:r>
      <w:r>
        <w:br/>
      </w:r>
      <w:r>
        <w:rPr>
          <w:rFonts w:ascii="Times New Roman"/>
          <w:b w:val="false"/>
          <w:i w:val="false"/>
          <w:color w:val="000000"/>
          <w:sz w:val="28"/>
        </w:rPr>
        <w:t>
</w:t>
      </w:r>
      <w:r>
        <w:rPr>
          <w:rFonts w:ascii="Times New Roman"/>
          <w:b w:val="false"/>
          <w:i w:val="false"/>
          <w:color w:val="000000"/>
          <w:sz w:val="28"/>
        </w:rPr>
        <w:t>
      12. При осуществлении расчета цены единицы товара необходимо принимать во внимание продажи оцениваемых (ввозимых) либо идентичных или однородных товаров в количестве, достаточном для установления цены единицы соответствующего товара.</w:t>
      </w:r>
      <w:r>
        <w:br/>
      </w:r>
      <w:r>
        <w:rPr>
          <w:rFonts w:ascii="Times New Roman"/>
          <w:b w:val="false"/>
          <w:i w:val="false"/>
          <w:color w:val="000000"/>
          <w:sz w:val="28"/>
        </w:rPr>
        <w:t>
</w:t>
      </w:r>
      <w:r>
        <w:rPr>
          <w:rFonts w:ascii="Times New Roman"/>
          <w:b w:val="false"/>
          <w:i w:val="false"/>
          <w:color w:val="000000"/>
          <w:sz w:val="28"/>
        </w:rPr>
        <w:t>
      Решение о достаточности проданного количества единиц товара должно приниматься индивидуально для каждого конкретного случая.</w:t>
      </w:r>
      <w:r>
        <w:br/>
      </w:r>
      <w:r>
        <w:rPr>
          <w:rFonts w:ascii="Times New Roman"/>
          <w:b w:val="false"/>
          <w:i w:val="false"/>
          <w:color w:val="000000"/>
          <w:sz w:val="28"/>
        </w:rPr>
        <w:t>
</w:t>
      </w:r>
      <w:r>
        <w:rPr>
          <w:rFonts w:ascii="Times New Roman"/>
          <w:b w:val="false"/>
          <w:i w:val="false"/>
          <w:color w:val="000000"/>
          <w:sz w:val="28"/>
        </w:rPr>
        <w:t>
      Так, если оцениваемые (ввозимые) товары проданы одному покупателю, то эта продажа может рассматриваться как продажа в количестве, достаточном для установления цены единицы товара.</w:t>
      </w:r>
      <w:r>
        <w:br/>
      </w:r>
      <w:r>
        <w:rPr>
          <w:rFonts w:ascii="Times New Roman"/>
          <w:b w:val="false"/>
          <w:i w:val="false"/>
          <w:color w:val="000000"/>
          <w:sz w:val="28"/>
        </w:rPr>
        <w:t>
</w:t>
      </w:r>
      <w:r>
        <w:rPr>
          <w:rFonts w:ascii="Times New Roman"/>
          <w:b w:val="false"/>
          <w:i w:val="false"/>
          <w:color w:val="000000"/>
          <w:sz w:val="28"/>
        </w:rPr>
        <w:t>
      При продаже дорогостоящих товаров (крупногабаритное оборудование, турбины и т. п.) в качестве достаточного количества может быть признана продажа в количестве 1 – 2 единиц, в то время как для мелких запасных частей, которые продаются обычно в большом количестве (например, по 10 000 единиц) единичная продажа в количестве 100 – 200 единиц будет недостаточной для выбора приемлемой цены единицы товара.</w:t>
      </w:r>
      <w:r>
        <w:br/>
      </w:r>
      <w:r>
        <w:rPr>
          <w:rFonts w:ascii="Times New Roman"/>
          <w:b w:val="false"/>
          <w:i w:val="false"/>
          <w:color w:val="000000"/>
          <w:sz w:val="28"/>
        </w:rPr>
        <w:t>
</w:t>
      </w:r>
      <w:r>
        <w:rPr>
          <w:rFonts w:ascii="Times New Roman"/>
          <w:b w:val="false"/>
          <w:i w:val="false"/>
          <w:color w:val="000000"/>
          <w:sz w:val="28"/>
        </w:rPr>
        <w:t>
      13. При выборе приемлемых продаж для определения цены единицы товара, по которой товары продаются в наибольшем совокупном количестве, необходимо учитывать следующее:</w:t>
      </w:r>
      <w:r>
        <w:br/>
      </w:r>
      <w:r>
        <w:rPr>
          <w:rFonts w:ascii="Times New Roman"/>
          <w:b w:val="false"/>
          <w:i w:val="false"/>
          <w:color w:val="000000"/>
          <w:sz w:val="28"/>
        </w:rPr>
        <w:t>
</w:t>
      </w:r>
      <w:r>
        <w:rPr>
          <w:rFonts w:ascii="Times New Roman"/>
          <w:b w:val="false"/>
          <w:i w:val="false"/>
          <w:color w:val="000000"/>
          <w:sz w:val="28"/>
        </w:rPr>
        <w:t>
      а) рассматриваются продажи товаров на таможенной территории Таможенного союза покупателям первого коммерческого уровня продаж;</w:t>
      </w:r>
      <w:r>
        <w:br/>
      </w:r>
      <w:r>
        <w:rPr>
          <w:rFonts w:ascii="Times New Roman"/>
          <w:b w:val="false"/>
          <w:i w:val="false"/>
          <w:color w:val="000000"/>
          <w:sz w:val="28"/>
        </w:rPr>
        <w:t>
</w:t>
      </w:r>
      <w:r>
        <w:rPr>
          <w:rFonts w:ascii="Times New Roman"/>
          <w:b w:val="false"/>
          <w:i w:val="false"/>
          <w:color w:val="000000"/>
          <w:sz w:val="28"/>
        </w:rPr>
        <w:t>
      б) рассматриваются продажи товаров лицам, не являющимся</w:t>
      </w:r>
      <w:r>
        <w:br/>
      </w:r>
      <w:r>
        <w:rPr>
          <w:rFonts w:ascii="Times New Roman"/>
          <w:b w:val="false"/>
          <w:i w:val="false"/>
          <w:color w:val="000000"/>
          <w:sz w:val="28"/>
        </w:rPr>
        <w:t>
взаимосвязанными с лицами, осуществляющими продажу на таможенной</w:t>
      </w:r>
      <w:r>
        <w:br/>
      </w:r>
      <w:r>
        <w:rPr>
          <w:rFonts w:ascii="Times New Roman"/>
          <w:b w:val="false"/>
          <w:i w:val="false"/>
          <w:color w:val="000000"/>
          <w:sz w:val="28"/>
        </w:rPr>
        <w:t>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в) не рассматриваются продажи товаров лицу, указанному в пункте 9 настоящих Правил;</w:t>
      </w:r>
      <w:r>
        <w:br/>
      </w:r>
      <w:r>
        <w:rPr>
          <w:rFonts w:ascii="Times New Roman"/>
          <w:b w:val="false"/>
          <w:i w:val="false"/>
          <w:color w:val="000000"/>
          <w:sz w:val="28"/>
        </w:rPr>
        <w:t>
</w:t>
      </w:r>
      <w:r>
        <w:rPr>
          <w:rFonts w:ascii="Times New Roman"/>
          <w:b w:val="false"/>
          <w:i w:val="false"/>
          <w:color w:val="000000"/>
          <w:sz w:val="28"/>
        </w:rPr>
        <w:t>
      г) рассматриваются продажи товаров в количестве, достаточном для установления цены единицы товара.</w:t>
      </w:r>
      <w:r>
        <w:br/>
      </w:r>
      <w:r>
        <w:rPr>
          <w:rFonts w:ascii="Times New Roman"/>
          <w:b w:val="false"/>
          <w:i w:val="false"/>
          <w:color w:val="000000"/>
          <w:sz w:val="28"/>
        </w:rPr>
        <w:t>
</w:t>
      </w:r>
      <w:r>
        <w:rPr>
          <w:rFonts w:ascii="Times New Roman"/>
          <w:b w:val="false"/>
          <w:i w:val="false"/>
          <w:color w:val="000000"/>
          <w:sz w:val="28"/>
        </w:rPr>
        <w:t>
      14. При выборе продаж, приемлемых для целей определения таможенной стоимости товаров по методу 4, необходимо принимать во внимание период времени, в течение которого совершаются такие продажи.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8 Соглашения не устанавливает точный период времени совершения продажи оцениваемых (ввозимых) либо идентичных или однородных товаров на таможенной территории Таможенного союза, а определяет его как «тот же или соответствующий ему период времени», в который оцениваемые (ввозимые) товары пересекали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Для целей определения таможенной стоимости оцениваемых (ввозимых) товаров по методу 4 в качестве «того же или соответствующего ему периода времени» следует рассматривать период, который включает в себя дату прибытия оцениваемых (ввозимых) товаров на таможенную территорию Таможенного союза, некоторый период времени до и некоторый период времени после даты прибытия оцениваемых (ввозимых)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Так, в качестве «того же или соответствующего ему периода времени» может рассматриваться период, включающий дату прибытия оцениваемых (ввозимых) товаров на таможенную территорию Таможенного союза и, например, 10 – 15 дней до и 10 – 15 дней после даты прибытия оцениваемых (ввозимых)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Если в «тот же или соответствующий ему период времени» не выявлены продажи, приемлемые для целей определения таможенной стоимости товаров по методу 4, в соответствии с пунктом 3 статьи 8 Соглашения рассматриваются продажи оцениваемых (ввозимых) либо идентичных или однородных товаров в том же состоянии, в котором они были ввезены, на самую раннюю дату по отношению к дате прибытия оцениваемых (ввозимых) товаров на таможенную территорию Таможенного союза, но не позднее чем по истечении 90 календарных дней после этой даты (</w:t>
      </w:r>
      <w:r>
        <w:rPr>
          <w:rFonts w:ascii="Times New Roman"/>
          <w:b w:val="false"/>
          <w:i w:val="false"/>
          <w:color w:val="000000"/>
          <w:sz w:val="28"/>
        </w:rPr>
        <w:t>схема 2</w:t>
      </w:r>
      <w:r>
        <w:rPr>
          <w:rFonts w:ascii="Times New Roman"/>
          <w:b w:val="false"/>
          <w:i w:val="false"/>
          <w:color w:val="000000"/>
          <w:sz w:val="28"/>
        </w:rPr>
        <w:t>).</w:t>
      </w:r>
    </w:p>
    <w:bookmarkEnd w:id="8"/>
    <w:bookmarkStart w:name="z65" w:id="9"/>
    <w:p>
      <w:pPr>
        <w:spacing w:after="0"/>
        <w:ind w:left="0"/>
        <w:jc w:val="both"/>
      </w:pPr>
      <w:r>
        <w:rPr>
          <w:rFonts w:ascii="Times New Roman"/>
          <w:b w:val="false"/>
          <w:i w:val="false"/>
          <w:color w:val="000000"/>
          <w:sz w:val="28"/>
        </w:rPr>
        <w:t>
Схема 2</w:t>
      </w:r>
    </w:p>
    <w:bookmarkEnd w:id="9"/>
    <w:p>
      <w:pPr>
        <w:spacing w:after="0"/>
        <w:ind w:left="0"/>
        <w:jc w:val="both"/>
      </w:pPr>
      <w:r>
        <w:drawing>
          <wp:inline distT="0" distB="0" distL="0" distR="0">
            <wp:extent cx="86868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86800" cy="4356100"/>
                    </a:xfrm>
                    <a:prstGeom prst="rect">
                      <a:avLst/>
                    </a:prstGeom>
                  </pic:spPr>
                </pic:pic>
              </a:graphicData>
            </a:graphic>
          </wp:inline>
        </w:drawing>
      </w:r>
    </w:p>
    <w:bookmarkStart w:name="z66" w:id="1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В – дата прибытия оцениваемых (ввозимых)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В1 – В2 – «тот же или соответствующий ему период времени», включающий в себя дату прибытия оцениваемых (ввозимых) товаров на таможенную территорию Таможенного союза и составляющий в данном примере 10 – 15 дней до и 10 – 15 дней после даты прибытия оцениваемых (ввозимых)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С – 90-й календарный день после даты прибытия оцениваемых (ввозимых)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Таким образом, при определении таможенной стоимости оцениваемых (ввозимых) товаров по методу 4 первоначально выявляются продажи, имевшие место в период времени между В1 и В2. Если такие продажи не выявлены, то при прочих равных условиях рассматриваются продажи, имевшие место в период между В2 и С, при этом предпочтение отдается продажам, осуществленным в период времени, наиболее близкий к В2.</w:t>
      </w:r>
      <w:r>
        <w:br/>
      </w:r>
      <w:r>
        <w:rPr>
          <w:rFonts w:ascii="Times New Roman"/>
          <w:b w:val="false"/>
          <w:i w:val="false"/>
          <w:color w:val="000000"/>
          <w:sz w:val="28"/>
        </w:rPr>
        <w:t>
</w:t>
      </w:r>
      <w:r>
        <w:rPr>
          <w:rFonts w:ascii="Times New Roman"/>
          <w:b w:val="false"/>
          <w:i w:val="false"/>
          <w:color w:val="000000"/>
          <w:sz w:val="28"/>
        </w:rPr>
        <w:t>
      Для обеспечения объективного выбора сопоставимых сделок и корректного сравнения цен целесообразно учитывать период времени, в который конъюнктура рынка таких товаров была относительно стабильной. Это связано с тем, что стоимость одних товаров не подвергается значительным колебаниям в течение довольно продолжительного периода времени (машины, сложные механизмы, турбины и т. д.), стоимость же других меняется ежемесячно или чаще (фрукты, овощи, цветы, сезонная одежда, обувь и т. д.).</w:t>
      </w:r>
      <w:r>
        <w:br/>
      </w:r>
      <w:r>
        <w:rPr>
          <w:rFonts w:ascii="Times New Roman"/>
          <w:b w:val="false"/>
          <w:i w:val="false"/>
          <w:color w:val="000000"/>
          <w:sz w:val="28"/>
        </w:rPr>
        <w:t>
</w:t>
      </w:r>
      <w:r>
        <w:rPr>
          <w:rFonts w:ascii="Times New Roman"/>
          <w:b w:val="false"/>
          <w:i w:val="false"/>
          <w:color w:val="000000"/>
          <w:sz w:val="28"/>
        </w:rPr>
        <w:t>
      В пределах установленного статьей 8 Соглашения периода времени (90 календарных дней) при выборе приемлемых продаж необходимо принимать во внимание обстоятельства сделки, специфику товаров, сезон, в котором происходит ввоз товаров, и другие подобные факторы. В частности, для сезонных товаров период времени для выбора приемлемых продаж будет более коротким, чем для товаров, производство и использование которых не связаны с конкретным сезоном (не зависят от времени года).</w:t>
      </w:r>
      <w:r>
        <w:br/>
      </w:r>
      <w:r>
        <w:rPr>
          <w:rFonts w:ascii="Times New Roman"/>
          <w:b w:val="false"/>
          <w:i w:val="false"/>
          <w:color w:val="000000"/>
          <w:sz w:val="28"/>
        </w:rPr>
        <w:t>
</w:t>
      </w:r>
      <w:r>
        <w:rPr>
          <w:rFonts w:ascii="Times New Roman"/>
          <w:b w:val="false"/>
          <w:i w:val="false"/>
          <w:color w:val="000000"/>
          <w:sz w:val="28"/>
        </w:rPr>
        <w:t>
      15. Из расчетной (выбранной) цены единицы товара должны быть вычтены следующие суммы согласно положениям </w:t>
      </w:r>
      <w:r>
        <w:rPr>
          <w:rFonts w:ascii="Times New Roman"/>
          <w:b w:val="false"/>
          <w:i w:val="false"/>
          <w:color w:val="000000"/>
          <w:sz w:val="28"/>
        </w:rPr>
        <w:t>пункта 2</w:t>
      </w:r>
      <w:r>
        <w:rPr>
          <w:rFonts w:ascii="Times New Roman"/>
          <w:b w:val="false"/>
          <w:i w:val="false"/>
          <w:color w:val="000000"/>
          <w:sz w:val="28"/>
        </w:rPr>
        <w:t xml:space="preserve"> статьи 8 Соглашения:</w:t>
      </w:r>
      <w:r>
        <w:br/>
      </w:r>
      <w:r>
        <w:rPr>
          <w:rFonts w:ascii="Times New Roman"/>
          <w:b w:val="false"/>
          <w:i w:val="false"/>
          <w:color w:val="000000"/>
          <w:sz w:val="28"/>
        </w:rPr>
        <w:t>
</w:t>
      </w:r>
      <w:r>
        <w:rPr>
          <w:rFonts w:ascii="Times New Roman"/>
          <w:b w:val="false"/>
          <w:i w:val="false"/>
          <w:color w:val="000000"/>
          <w:sz w:val="28"/>
        </w:rPr>
        <w:t>
      а) вознаграждение посреднику (агенту), обычно выплачиваемое или</w:t>
      </w:r>
      <w:r>
        <w:br/>
      </w:r>
      <w:r>
        <w:rPr>
          <w:rFonts w:ascii="Times New Roman"/>
          <w:b w:val="false"/>
          <w:i w:val="false"/>
          <w:color w:val="000000"/>
          <w:sz w:val="28"/>
        </w:rPr>
        <w:t>
подлежащее выплате, либо надбавка к цене, обычно производимая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Таможенного союза товаров того же класса или вида, ввезенных из той же страны, что и оцениваемые (ввозимые) товары, а также из других стран;</w:t>
      </w:r>
      <w:r>
        <w:br/>
      </w:r>
      <w:r>
        <w:rPr>
          <w:rFonts w:ascii="Times New Roman"/>
          <w:b w:val="false"/>
          <w:i w:val="false"/>
          <w:color w:val="000000"/>
          <w:sz w:val="28"/>
        </w:rPr>
        <w:t>
</w:t>
      </w:r>
      <w:r>
        <w:rPr>
          <w:rFonts w:ascii="Times New Roman"/>
          <w:b w:val="false"/>
          <w:i w:val="false"/>
          <w:color w:val="000000"/>
          <w:sz w:val="28"/>
        </w:rPr>
        <w:t>
      б) обычные расходы на осуществленные на таможенной территории</w:t>
      </w:r>
      <w:r>
        <w:br/>
      </w:r>
      <w:r>
        <w:rPr>
          <w:rFonts w:ascii="Times New Roman"/>
          <w:b w:val="false"/>
          <w:i w:val="false"/>
          <w:color w:val="000000"/>
          <w:sz w:val="28"/>
        </w:rPr>
        <w:t>
Таможенного союза перевозку (транспортировку) и страхование и иные связанные с такими операциями расходы;</w:t>
      </w:r>
      <w:r>
        <w:br/>
      </w:r>
      <w:r>
        <w:rPr>
          <w:rFonts w:ascii="Times New Roman"/>
          <w:b w:val="false"/>
          <w:i w:val="false"/>
          <w:color w:val="000000"/>
          <w:sz w:val="28"/>
        </w:rPr>
        <w:t>
</w:t>
      </w:r>
      <w:r>
        <w:rPr>
          <w:rFonts w:ascii="Times New Roman"/>
          <w:b w:val="false"/>
          <w:i w:val="false"/>
          <w:color w:val="000000"/>
          <w:sz w:val="28"/>
        </w:rPr>
        <w:t>
      в) таможенные пошлины, налоги, сборы и применяемые в соответствии с законодательством государства – члена Таможенного союза иные налоги, подлежащие уплате в связи с ввозом и (или) продажей товаров на территории этого государства – члена Таможенного союза, включая налоги и сборы субъектов этого государства – члена Таможенного союза и местные налоги и сборы.</w:t>
      </w:r>
      <w:r>
        <w:br/>
      </w:r>
      <w:r>
        <w:rPr>
          <w:rFonts w:ascii="Times New Roman"/>
          <w:b w:val="false"/>
          <w:i w:val="false"/>
          <w:color w:val="000000"/>
          <w:sz w:val="28"/>
        </w:rPr>
        <w:t>
</w:t>
      </w:r>
      <w:r>
        <w:rPr>
          <w:rFonts w:ascii="Times New Roman"/>
          <w:b w:val="false"/>
          <w:i w:val="false"/>
          <w:color w:val="000000"/>
          <w:sz w:val="28"/>
        </w:rPr>
        <w:t>
      16. В отношении вычета суммы вознаграждения посреднику (агенту), обычно выплачиваемого или подлежащего выплате, или суммы надбавки к цене, обычно производимой для получения прибыли и покрытия общих расходов (коммерческих и управленческих расходов), необходимо учитывать следующее:</w:t>
      </w:r>
      <w:r>
        <w:br/>
      </w:r>
      <w:r>
        <w:rPr>
          <w:rFonts w:ascii="Times New Roman"/>
          <w:b w:val="false"/>
          <w:i w:val="false"/>
          <w:color w:val="000000"/>
          <w:sz w:val="28"/>
        </w:rPr>
        <w:t>
</w:t>
      </w:r>
      <w:r>
        <w:rPr>
          <w:rFonts w:ascii="Times New Roman"/>
          <w:b w:val="false"/>
          <w:i w:val="false"/>
          <w:color w:val="000000"/>
          <w:sz w:val="28"/>
        </w:rPr>
        <w:t>
      а) в зависимости от организации продаж на таможенной территории</w:t>
      </w:r>
      <w:r>
        <w:br/>
      </w:r>
      <w:r>
        <w:rPr>
          <w:rFonts w:ascii="Times New Roman"/>
          <w:b w:val="false"/>
          <w:i w:val="false"/>
          <w:color w:val="000000"/>
          <w:sz w:val="28"/>
        </w:rPr>
        <w:t>
Таможенного союза может быть произведен лишь один из видов вычетов – либо вычет суммы вознаграждения посреднику (агенту), когда продажа товаров осуществляется с участием посредника (агента), либо вычет суммы надбавки к цене, когда продажа товаров осуществляется без участия посредника (агента). Одновременно указанные виды вычетов производиться не могут;</w:t>
      </w:r>
      <w:r>
        <w:br/>
      </w:r>
      <w:r>
        <w:rPr>
          <w:rFonts w:ascii="Times New Roman"/>
          <w:b w:val="false"/>
          <w:i w:val="false"/>
          <w:color w:val="000000"/>
          <w:sz w:val="28"/>
        </w:rPr>
        <w:t>
</w:t>
      </w:r>
      <w:r>
        <w:rPr>
          <w:rFonts w:ascii="Times New Roman"/>
          <w:b w:val="false"/>
          <w:i w:val="false"/>
          <w:color w:val="000000"/>
          <w:sz w:val="28"/>
        </w:rPr>
        <w:t>
      б) под надбавкой к цене, обычно производимой для получения прибыли и покрытия общих расходов (коммерческих и управленческих расходов), понимается надбавка в размере, который наиболее часто имеет место на рынке товаров того же класса или вида, ввезенных из той же страны, что и оцениваемые (ввозимые) товары, а также из других стран;</w:t>
      </w:r>
      <w:r>
        <w:br/>
      </w:r>
      <w:r>
        <w:rPr>
          <w:rFonts w:ascii="Times New Roman"/>
          <w:b w:val="false"/>
          <w:i w:val="false"/>
          <w:color w:val="000000"/>
          <w:sz w:val="28"/>
        </w:rPr>
        <w:t>
</w:t>
      </w:r>
      <w:r>
        <w:rPr>
          <w:rFonts w:ascii="Times New Roman"/>
          <w:b w:val="false"/>
          <w:i w:val="false"/>
          <w:color w:val="000000"/>
          <w:sz w:val="28"/>
        </w:rPr>
        <w:t>
      в) сумма прибыли и общих расходов (коммерческих и управленческих расходов) определяется на основе имеющихся у декларанта (таможенного представителя) сведений, если предоставленные им данные сопоставимы с аналогичными данными, имеющими место при продажах в государстве – члене Таможенного союза товаров того же класса или вида (</w:t>
      </w:r>
      <w:r>
        <w:rPr>
          <w:rFonts w:ascii="Times New Roman"/>
          <w:b w:val="false"/>
          <w:i w:val="false"/>
          <w:color w:val="000000"/>
          <w:sz w:val="28"/>
        </w:rPr>
        <w:t>пункт 7</w:t>
      </w:r>
      <w:r>
        <w:rPr>
          <w:rFonts w:ascii="Times New Roman"/>
          <w:b w:val="false"/>
          <w:i w:val="false"/>
          <w:color w:val="000000"/>
          <w:sz w:val="28"/>
        </w:rPr>
        <w:t xml:space="preserve"> статьи 8 Соглашения). Указанные сведения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2</w:t>
      </w:r>
      <w:r>
        <w:br/>
      </w:r>
      <w:r>
        <w:rPr>
          <w:rFonts w:ascii="Times New Roman"/>
          <w:b w:val="false"/>
          <w:i w:val="false"/>
          <w:color w:val="000000"/>
          <w:sz w:val="28"/>
        </w:rPr>
        <w:t>
Соглашения, то есть основываться на достоверной, количественно определяемой и документально подтвержденной информации. Если таможенный орган располагает достоверной, количественно определяемой и документально подтвержденной информацией в отношении обычного размера прибыли и общих расходов (коммерческих и управленческих расходов), то есть размера надбавки, который наиболее часто имеет место на соответствующем товарном рынке в конкретный период времени, и сведения, использованные декларантом (таможенным представителем), не сопоставимы со сведениями, имеющимися в распоряжении таможенного органа, таможенный орган определяет сумму прибыли и общих расходов (коммерческих и управленческих расходов) на основе имеющихся у него сведений.</w:t>
      </w:r>
      <w:r>
        <w:br/>
      </w:r>
      <w:r>
        <w:rPr>
          <w:rFonts w:ascii="Times New Roman"/>
          <w:b w:val="false"/>
          <w:i w:val="false"/>
          <w:color w:val="000000"/>
          <w:sz w:val="28"/>
        </w:rPr>
        <w:t>
</w:t>
      </w:r>
      <w:r>
        <w:rPr>
          <w:rFonts w:ascii="Times New Roman"/>
          <w:b w:val="false"/>
          <w:i w:val="false"/>
          <w:color w:val="000000"/>
          <w:sz w:val="28"/>
        </w:rPr>
        <w:t>
      17. Обычные расходы на осуществленные на таможенной территории</w:t>
      </w:r>
      <w:r>
        <w:br/>
      </w:r>
      <w:r>
        <w:rPr>
          <w:rFonts w:ascii="Times New Roman"/>
          <w:b w:val="false"/>
          <w:i w:val="false"/>
          <w:color w:val="000000"/>
          <w:sz w:val="28"/>
        </w:rPr>
        <w:t>
Таможенного союза перевозку (транспортировку) и страхование, а также иные связанные с такими операциями расходы подлежат вычету, если они не вошли в надбавку к цене, обычно производимую для покрытия общих расходов (коммерческих и управленческих расходов).</w:t>
      </w:r>
      <w:r>
        <w:br/>
      </w:r>
      <w:r>
        <w:rPr>
          <w:rFonts w:ascii="Times New Roman"/>
          <w:b w:val="false"/>
          <w:i w:val="false"/>
          <w:color w:val="000000"/>
          <w:sz w:val="28"/>
        </w:rPr>
        <w:t>
</w:t>
      </w:r>
      <w:r>
        <w:rPr>
          <w:rFonts w:ascii="Times New Roman"/>
          <w:b w:val="false"/>
          <w:i w:val="false"/>
          <w:color w:val="000000"/>
          <w:sz w:val="28"/>
        </w:rPr>
        <w:t>
      Под обычными расходами понимаются расходы, базирующиеся на наиболее характерных (представительных) ценах (тарифах) на перевозку (транспортировку) и страхование, используемых (предлагаемых) основной частью агентов на свободном, конкурентном рынке соответствующих услуг. При этом учитываются перевозки (транспортировка) по оптимальному (обычно используемому) маршруту и стандартные (наиболее характерные, принятые для данного вида страхования) условия страхования.</w:t>
      </w:r>
      <w:r>
        <w:br/>
      </w:r>
      <w:r>
        <w:rPr>
          <w:rFonts w:ascii="Times New Roman"/>
          <w:b w:val="false"/>
          <w:i w:val="false"/>
          <w:color w:val="000000"/>
          <w:sz w:val="28"/>
        </w:rPr>
        <w:t>
</w:t>
      </w:r>
      <w:r>
        <w:rPr>
          <w:rFonts w:ascii="Times New Roman"/>
          <w:b w:val="false"/>
          <w:i w:val="false"/>
          <w:color w:val="000000"/>
          <w:sz w:val="28"/>
        </w:rPr>
        <w:t xml:space="preserve">
      18. Вычет таможенных пошлин, налогов, сборов, специальных, антидемпинговых или компенсационных пошлин, а также установленных законодательством соответствующего государства – члена Таможенного союза иных налогов, подлежащих уплате в связи с ввозом и (или) продажей товаров на территории этого государства – члена Таможенного союза, включая налоги и сборы субъектов соответствующего государства – члена Таможенного союза и местные налоги и сборы, производится при наличии документального подтверждения и обоснования размера заявленных к вычету сумм. </w:t>
      </w:r>
      <w:r>
        <w:br/>
      </w:r>
      <w:r>
        <w:rPr>
          <w:rFonts w:ascii="Times New Roman"/>
          <w:b w:val="false"/>
          <w:i w:val="false"/>
          <w:color w:val="000000"/>
          <w:sz w:val="28"/>
        </w:rPr>
        <w:t>
</w:t>
      </w:r>
      <w:r>
        <w:rPr>
          <w:rFonts w:ascii="Times New Roman"/>
          <w:b w:val="false"/>
          <w:i w:val="false"/>
          <w:color w:val="000000"/>
          <w:sz w:val="28"/>
        </w:rPr>
        <w:t>
      19. Если ни оцениваемые (ввозимые), ни идентичные, ни однородные товары не продаются на таможенной территории Таможенного союза в том же состоянии, в каком они были ввезены на таможенную территорию Таможенного союза,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 Соглашения по заявлению декларанта (таможенного представителя) таможенная стоимость оцениваемых (ввозимых) товаров определяется на основе цены единицы таких товаров, по которой их наибольшее совокупное количество продается после переработки (обработки), при условии вычета стоимости, добавленной в результате переработки (обработки), и сумм,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 Соглашения. При этом: </w:t>
      </w:r>
      <w:r>
        <w:br/>
      </w:r>
      <w:r>
        <w:rPr>
          <w:rFonts w:ascii="Times New Roman"/>
          <w:b w:val="false"/>
          <w:i w:val="false"/>
          <w:color w:val="000000"/>
          <w:sz w:val="28"/>
        </w:rPr>
        <w:t>
</w:t>
      </w:r>
      <w:r>
        <w:rPr>
          <w:rFonts w:ascii="Times New Roman"/>
          <w:b w:val="false"/>
          <w:i w:val="false"/>
          <w:color w:val="000000"/>
          <w:sz w:val="28"/>
        </w:rPr>
        <w:t>
      а) декларантом (таможенным представителем) вместе с заявлениемпредставлен расчет таможенной стоимости оцениваемых (ввозимых) товаров исходя из цены единицы товара, по которой наибольшее совокупное количество данных товаров продается после их переработки (обработки);</w:t>
      </w:r>
      <w:r>
        <w:br/>
      </w:r>
      <w:r>
        <w:rPr>
          <w:rFonts w:ascii="Times New Roman"/>
          <w:b w:val="false"/>
          <w:i w:val="false"/>
          <w:color w:val="000000"/>
          <w:sz w:val="28"/>
        </w:rPr>
        <w:t>
</w:t>
      </w:r>
      <w:r>
        <w:rPr>
          <w:rFonts w:ascii="Times New Roman"/>
          <w:b w:val="false"/>
          <w:i w:val="false"/>
          <w:color w:val="000000"/>
          <w:sz w:val="28"/>
        </w:rPr>
        <w:t>
      б) декларантом (таможенным представителем) представлены сведения, относящиеся к стоимости переработки (обработки), а также другие сведения, необходимые для определения таможенной стоимости оцениваемых (ввозимых) товаров по методу 4;</w:t>
      </w:r>
      <w:r>
        <w:br/>
      </w:r>
      <w:r>
        <w:rPr>
          <w:rFonts w:ascii="Times New Roman"/>
          <w:b w:val="false"/>
          <w:i w:val="false"/>
          <w:color w:val="000000"/>
          <w:sz w:val="28"/>
        </w:rPr>
        <w:t>
</w:t>
      </w:r>
      <w:r>
        <w:rPr>
          <w:rFonts w:ascii="Times New Roman"/>
          <w:b w:val="false"/>
          <w:i w:val="false"/>
          <w:color w:val="000000"/>
          <w:sz w:val="28"/>
        </w:rPr>
        <w:t>
      в) представленные декларантом (таможенным представителем) сведения, относящиеся к стоимости переработки (обработки), основаны на достоверной, количественно определяемой и документально подтвержденной информации. Сведениями, основанными на количественно определяемой информации, считаются сведения, содержащие данные о структуре и размере затрат на переработку (обработку) оцениваемых (ввозимых) товаров.</w:t>
      </w:r>
      <w:r>
        <w:br/>
      </w:r>
      <w:r>
        <w:rPr>
          <w:rFonts w:ascii="Times New Roman"/>
          <w:b w:val="false"/>
          <w:i w:val="false"/>
          <w:color w:val="000000"/>
          <w:sz w:val="28"/>
        </w:rPr>
        <w:t>
</w:t>
      </w:r>
      <w:r>
        <w:rPr>
          <w:rFonts w:ascii="Times New Roman"/>
          <w:b w:val="false"/>
          <w:i w:val="false"/>
          <w:color w:val="000000"/>
          <w:sz w:val="28"/>
        </w:rPr>
        <w:t>
      20.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 Соглашения не допускается использование для целей определения таможенной стоимости цены продажи на таможенной территории Таможенного союза переработанных (обработанных) оцениваемых (ввезенных) товаров в следующих случаях:</w:t>
      </w:r>
      <w:r>
        <w:br/>
      </w:r>
      <w:r>
        <w:rPr>
          <w:rFonts w:ascii="Times New Roman"/>
          <w:b w:val="false"/>
          <w:i w:val="false"/>
          <w:color w:val="000000"/>
          <w:sz w:val="28"/>
        </w:rPr>
        <w:t>
</w:t>
      </w:r>
      <w:r>
        <w:rPr>
          <w:rFonts w:ascii="Times New Roman"/>
          <w:b w:val="false"/>
          <w:i w:val="false"/>
          <w:color w:val="000000"/>
          <w:sz w:val="28"/>
        </w:rPr>
        <w:t>
      а) в результате дальнейшей переработки (обработки) оцениваемые (ввезенные)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1. На таможенную территорию Таможенного союза ввозится хлопок, не предназначенный для продажи в чистом виде. В результате его дальнейшей переработки на таможенной территории Таможенного союза получается смесовая ткань, содержащая различные синтетические добавки, которая затем продается на таможенной территории Таможенного союза. Таким образом, ввезенный товар (хлопок) в результате достаточно сложных операций по его переработке теряет свои индивидуальные свойства.</w:t>
      </w:r>
      <w:r>
        <w:br/>
      </w:r>
      <w:r>
        <w:rPr>
          <w:rFonts w:ascii="Times New Roman"/>
          <w:b w:val="false"/>
          <w:i w:val="false"/>
          <w:color w:val="000000"/>
          <w:sz w:val="28"/>
        </w:rPr>
        <w:t>
</w:t>
      </w:r>
      <w:r>
        <w:rPr>
          <w:rFonts w:ascii="Times New Roman"/>
          <w:b w:val="false"/>
          <w:i w:val="false"/>
          <w:color w:val="000000"/>
          <w:sz w:val="28"/>
        </w:rPr>
        <w:t>
      В другом случае, несмотря на потерю товарами своих индивидуальных признаков, величина стоимости, добавленной в результате переработки (обработки), может быть достаточно точно определена.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2. На таможенную территорию Таможенного союза ввозятся 160 тонн сахара. После дальнейшей переработки (обработки) на таможенной территории Таможенного союза он превращается в сироп (200 тонн), предназначенный для продажи на таможенной территории Таможенного союза. В составе сиропа, полученного путем проведения простых операций (добавления воды и небольшого количества лимонной кислоты), уже невозможно выделить сахар в том виде, в котором он был ввезен, то есть сахар теряет свои индивидуальные свойства. Однако при наличии данных о стоимости сиропа, сахара, растворителя и о затратах на оплату труда можно подсчитать величину стоимости, добавленной в результате переработки (обработки) сахара;</w:t>
      </w:r>
      <w:r>
        <w:br/>
      </w:r>
      <w:r>
        <w:rPr>
          <w:rFonts w:ascii="Times New Roman"/>
          <w:b w:val="false"/>
          <w:i w:val="false"/>
          <w:color w:val="000000"/>
          <w:sz w:val="28"/>
        </w:rPr>
        <w:t>
</w:t>
      </w:r>
      <w:r>
        <w:rPr>
          <w:rFonts w:ascii="Times New Roman"/>
          <w:b w:val="false"/>
          <w:i w:val="false"/>
          <w:color w:val="000000"/>
          <w:sz w:val="28"/>
        </w:rPr>
        <w:t>
      б) оцениваемые (ввезенные) товары после переработки (обработки) не теряют свои индивидуальные признаки, но составляют столь незначительную часть в товарах, продаваемых на таможенной территории Таможенного союза, что стоимость оцениваемых (ввезенных) товаров не оказывает существенного влияния на стоимость продаваемых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3. Ввозятся воздушные фильтры по цене 1 000 денежных единиц, которые используются для производства автомобилей, продаваемых на таможенной территории Таможенного союза по цене 250 000 денежных единиц. В данном случае стоимость воздушного фильтра составляет незначительную часть стоимости готового изделия, то есть его стоимость не оказывает существенного влияния на стоимость продаваемых автомобилей.</w:t>
      </w:r>
      <w:r>
        <w:br/>
      </w:r>
      <w:r>
        <w:rPr>
          <w:rFonts w:ascii="Times New Roman"/>
          <w:b w:val="false"/>
          <w:i w:val="false"/>
          <w:color w:val="000000"/>
          <w:sz w:val="28"/>
        </w:rPr>
        <w:t>
</w:t>
      </w:r>
      <w:r>
        <w:rPr>
          <w:rFonts w:ascii="Times New Roman"/>
          <w:b w:val="false"/>
          <w:i w:val="false"/>
          <w:color w:val="000000"/>
          <w:sz w:val="28"/>
        </w:rPr>
        <w:t>
      21. При применении метода 4 необходимы индивидуальный подход и анализ каждой конкретной ситуации, как это следует из </w:t>
      </w:r>
      <w:r>
        <w:rPr>
          <w:rFonts w:ascii="Times New Roman"/>
          <w:b w:val="false"/>
          <w:i w:val="false"/>
          <w:color w:val="000000"/>
          <w:sz w:val="28"/>
        </w:rPr>
        <w:t>пунктов 14</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с тем чтобы определить не только возможность, но и целесообразность тех или иных затрат по осуществлению поиска и использованию необходимой информации для определения таможенной стоимости по данному методу.</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