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ce60" w14:textId="2a0c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пункт 12 Инструкции о порядке использования транспортных (перевозочных), коммерческих и (или) иных документов в качестве декларации на товары</w:t>
      </w:r>
    </w:p>
    <w:p>
      <w:pPr>
        <w:spacing w:after="0"/>
        <w:ind w:left="0"/>
        <w:jc w:val="both"/>
      </w:pPr>
      <w:r>
        <w:rPr>
          <w:rFonts w:ascii="Times New Roman"/>
          <w:b w:val="false"/>
          <w:i w:val="false"/>
          <w:color w:val="000000"/>
          <w:sz w:val="28"/>
        </w:rPr>
        <w:t>Решение Коллегии Евразийской экономической комиссии от 20 декабря 2012 года № 281</w:t>
      </w:r>
    </w:p>
    <w:p>
      <w:pPr>
        <w:spacing w:after="0"/>
        <w:ind w:left="0"/>
        <w:jc w:val="both"/>
      </w:pPr>
      <w:bookmarkStart w:name="z1" w:id="0"/>
      <w:r>
        <w:rPr>
          <w:rFonts w:ascii="Times New Roman"/>
          <w:b w:val="false"/>
          <w:i w:val="false"/>
          <w:color w:val="000000"/>
          <w:sz w:val="28"/>
        </w:rPr>
        <w:t xml:space="preserve">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Пункт 12</w:t>
      </w:r>
      <w:r>
        <w:rPr>
          <w:rFonts w:ascii="Times New Roman"/>
          <w:b w:val="false"/>
          <w:i w:val="false"/>
          <w:color w:val="000000"/>
          <w:sz w:val="28"/>
        </w:rPr>
        <w:t xml:space="preserve"> Инструкции о порядке использования транспортных (перевозочных), коммерческих и (или) иных документов в качестве декларации на товары, утвержденной Решением Комиссии Таможенного союза от 20 мая 2010 г. № 263 «О порядке использования транспортных (перевозочных), коммерческих и (или) иных документов в качестве декларации на товары», дополнить подпунктом 12</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«12</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sz w:val="28"/>
        </w:rPr>
        <w:t xml:space="preserve"> запасных частей и оборудования:</w:t>
      </w:r>
      <w:r>
        <w:br/>
      </w:r>
      <w:r>
        <w:rPr>
          <w:rFonts w:ascii="Times New Roman"/>
          <w:b w:val="false"/>
          <w:i w:val="false"/>
          <w:color w:val="000000"/>
          <w:sz w:val="28"/>
        </w:rPr>
        <w:t>
      помещаемых под таможенную процедуру временного ввоза (допуска) без уплаты таможенных пошлин, налогов и без применения мер нетарифного и технического регулирования в соответствии с пунктом 2 </w:t>
      </w:r>
      <w:r>
        <w:rPr>
          <w:rFonts w:ascii="Times New Roman"/>
          <w:b w:val="false"/>
          <w:i w:val="false"/>
          <w:color w:val="000000"/>
          <w:sz w:val="28"/>
        </w:rPr>
        <w:t>статьи 349</w:t>
      </w:r>
      <w:r>
        <w:rPr>
          <w:rFonts w:ascii="Times New Roman"/>
          <w:b w:val="false"/>
          <w:i w:val="false"/>
          <w:color w:val="000000"/>
          <w:sz w:val="28"/>
        </w:rPr>
        <w:t xml:space="preserve"> Кодекса и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w:t>
      </w:r>
      <w:r>
        <w:br/>
      </w:r>
      <w:r>
        <w:rPr>
          <w:rFonts w:ascii="Times New Roman"/>
          <w:b w:val="false"/>
          <w:i w:val="false"/>
          <w:color w:val="000000"/>
          <w:sz w:val="28"/>
        </w:rPr>
        <w:t>
      помещенных под таможенную процедуру временного ввоза (допуска) без уплаты таможенных пошлин, налогов и без применения мер нетарифного и технического регулирования в соответствии с пунктом 2 </w:t>
      </w:r>
      <w:r>
        <w:rPr>
          <w:rFonts w:ascii="Times New Roman"/>
          <w:b w:val="false"/>
          <w:i w:val="false"/>
          <w:color w:val="000000"/>
          <w:sz w:val="28"/>
        </w:rPr>
        <w:t>статьи 349</w:t>
      </w:r>
      <w:r>
        <w:rPr>
          <w:rFonts w:ascii="Times New Roman"/>
          <w:b w:val="false"/>
          <w:i w:val="false"/>
          <w:color w:val="000000"/>
          <w:sz w:val="28"/>
        </w:rPr>
        <w:t xml:space="preserve"> Кодекса, предназначенных для ремонта, технического обслуживания или эксплуатации ввезенных в качестве транспортных средств международной перевозки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реэкспорта в целях завершения таможенной процедуры временного ввоза (допуска);</w:t>
      </w:r>
      <w:r>
        <w:br/>
      </w:r>
      <w:r>
        <w:rPr>
          <w:rFonts w:ascii="Times New Roman"/>
          <w:b w:val="false"/>
          <w:i w:val="false"/>
          <w:color w:val="000000"/>
          <w:sz w:val="28"/>
        </w:rPr>
        <w:t>
      помещаемых под таможенную процедуру временного вывоза и предназначенных для ремонта или технического обслуживания вывезенных в соответствии с </w:t>
      </w:r>
      <w:r>
        <w:rPr>
          <w:rFonts w:ascii="Times New Roman"/>
          <w:b w:val="false"/>
          <w:i w:val="false"/>
          <w:color w:val="000000"/>
          <w:sz w:val="28"/>
        </w:rPr>
        <w:t>главой 48</w:t>
      </w:r>
      <w:r>
        <w:rPr>
          <w:rFonts w:ascii="Times New Roman"/>
          <w:b w:val="false"/>
          <w:i w:val="false"/>
          <w:color w:val="000000"/>
          <w:sz w:val="28"/>
        </w:rPr>
        <w:t xml:space="preserve">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 отношении таких запасных частей и оборудования законодательством государства – члена Таможенного союза, таможенному органу которого подана ДТ для помещения под таможенную процедуру временного вывоза, не установлены ставки вывозных таможенных пошлин на день регистрации такой ДТ;</w:t>
      </w:r>
      <w:r>
        <w:br/>
      </w:r>
      <w:r>
        <w:rPr>
          <w:rFonts w:ascii="Times New Roman"/>
          <w:b w:val="false"/>
          <w:i w:val="false"/>
          <w:color w:val="000000"/>
          <w:sz w:val="28"/>
        </w:rPr>
        <w:t>
      помещенных под таможенную процедуру временного вывоза, предназначенных для ремонта или технического обслуживания вывезенных в соответствии с </w:t>
      </w:r>
      <w:r>
        <w:rPr>
          <w:rFonts w:ascii="Times New Roman"/>
          <w:b w:val="false"/>
          <w:i w:val="false"/>
          <w:color w:val="000000"/>
          <w:sz w:val="28"/>
        </w:rPr>
        <w:t>главой 48</w:t>
      </w:r>
      <w:r>
        <w:rPr>
          <w:rFonts w:ascii="Times New Roman"/>
          <w:b w:val="false"/>
          <w:i w:val="false"/>
          <w:color w:val="000000"/>
          <w:sz w:val="28"/>
        </w:rPr>
        <w:t xml:space="preserve"> Кодекса воздушных судов, водных судов, железнодорожных транспортных средств (железнодорожных подвижных составов, единиц железнодорожного подвижного состава) и помещаемых под таможенную процедуру реимпорта в целях завершения таможенной процедуры временного вывоза, в случае если в отношении таких запасных частей и оборудования законодательством государства – члена Таможенного союза, таможенному органу которого подана ДТ для помещения под таможенную процедуру реимпорта, на день регистрации ДТ для помещения под таможенную процедуру временного вывоза не были установлены ставки вывозных таможенных пошлин;</w:t>
      </w:r>
      <w:r>
        <w:br/>
      </w:r>
      <w:r>
        <w:rPr>
          <w:rFonts w:ascii="Times New Roman"/>
          <w:b w:val="false"/>
          <w:i w:val="false"/>
          <w:color w:val="000000"/>
          <w:sz w:val="28"/>
        </w:rPr>
        <w:t>
      помещаемых под таможенную процедуру временного ввоза (допуска) и предназначенных для ремонта и (или) технического обслуживания помещенных под таможенную процедуру временного ввоза (допуска) воздушных судов, водных судов, железнодорожных транспортных средств (железнодорожных подвижных составов, единиц железнодорожного подвижного состава), в случае если в отношении таких запасных частей и оборудования применяется полное условное освобождение от уплаты таможенных пошлин, налогов;».</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В.Б. Христенко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