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945a" w14:textId="d459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марта 2012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 Решением Высшего Евразийского экономического совета на уровне глав государств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Председателя Коллегии Евразийской экономической комиссии В.Б.Христенко о начале работы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целесообразным внесение решения по данному вопросу 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 на рассмотрение Высшего Евразийского экономического совета на уровне глав государств.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633"/>
        <w:gridCol w:w="463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Келимбетов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ВЫСШИЙ ЕВРАЗИЙСКИЙ ЭКОНОМИЧЕСКИЙ СОВЕТ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  <w:r>
        <w:br/>
      </w:r>
      <w:r>
        <w:rPr>
          <w:rFonts w:ascii="Times New Roman"/>
          <w:b/>
          <w:i w:val="false"/>
          <w:color w:val="000000"/>
        </w:rPr>
        <w:t>
19 марта 2012 г.                 №                        г. Москва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начале работы Евразийской экономической комиссии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доклад Председателя Коллегии Евразийской экономической комиссии В.Б.Христенко о начале работы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обеспечить эффективное взаимодействие с правительствами Сторон. Правительствам Сторон оказывать необходимое содействие Евразийской экономической комиссии в ее работе.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4253"/>
        <w:gridCol w:w="321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