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415b" w14:textId="5aa4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 Решением Комиссии Таможенного союза от 28 мая 2010 года № 299,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№ 37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(контроля) за лицами и</w:t>
      </w:r>
      <w:r>
        <w:br/>
      </w:r>
      <w:r>
        <w:rPr>
          <w:rFonts w:ascii="Times New Roman"/>
          <w:b/>
          <w:i w:val="false"/>
          <w:color w:val="000000"/>
        </w:rPr>
        <w:t>
транспортными средствами, пересекающими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      Таможенного союза, подконтрольными товарами,</w:t>
      </w:r>
      <w:r>
        <w:br/>
      </w:r>
      <w:r>
        <w:rPr>
          <w:rFonts w:ascii="Times New Roman"/>
          <w:b/>
          <w:i w:val="false"/>
          <w:color w:val="000000"/>
        </w:rPr>
        <w:t>
перемещаемыми через таможенную границу Таможенного союза и на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союза, утвержденное Решением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 от 28 мая 2010 года № 299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«Единого перечня товаров» дополнить словами «, подлежащих санитарно-эпидемиологическому надзору (контролю) на таможенной границе и таможенной территории Таможенного союза (далее - Единый перечень товаров)»;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«подлежащих санитарно-эпидемиологическому надзору (контролю) на таможенной границе и таможенной территории Таможенного союза (далее - Единый перечень товаров)»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22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«Должностное лицо, осуществляющее санитарно-карантинный контроль и принявшее решение о разрешении ввоза на таможенную территорию Таможенного союза подконтрольного товара, не включенного в раздел II Единого перечня товаров, в отношении которого одной из Сторон введены временные санитарные меры, проставляет штамп «Ввоз разрешен» с указанием наименования уполномоченного органа, даты и подписи в одном из транспортных (перевозочных) и(или) коммерческих документов, а также делает отметку личной номерной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осуществляющее санитарно-карантинный контроль и принявшее решение о запрещении ввоза на таможенную территорию Таможенного союза подконтрольного товара, не включенного в раздел II Единого перечня товаров, в отношении которого одной из Сторон введены временные санитарные меры, проставляет штамп «Ввоз запрещен» с указанием наименования уполномоченного органа, даты и подписи в одном из транспортных (перевозочных) и (или) коммерческих документов, а также делает отметку личной номерной печатью.».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40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введения одной из Сторон временных санитарных мер в отношении подконтрольных товаров, не включенных в раздел II Единого перечня товаров, результаты санитарно-карантинного контроля регистрируются в учетной форме У-3 согласно Приложению № 4.».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