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a7a2" w14:textId="d68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технического регламента Таможенного союза "О требованиях к смазочным материалам, маслам и специальным жидкостям"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требованиях к смазочным материалам, маслам и специальным жидкостям" (ТР ТС 030/2012) (прилагается).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Таможенного союза "О требованиях к смазочным материалам, маслам и специальным жидкостям" (ТР ТС 030/2012) вступает в силу с 1 марта 2014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2012 г. № 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496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 РЕГЛАМЕНТ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 ТС 030/2012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требованиях к смазочным материалам, маслам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специальным жидкостям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Предисловие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Область применения...................................3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Определения..........................................5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обращения продукции на рынке.................7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безопасности.............................10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соответствия............................11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Подтверждение соответствия..........................11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Маркировка единым знаком обращения продукции на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государств – членов Таможенного союза...............13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Защитительная оговорка.............................13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характеристикам продукции..........15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отработанной продукции (отработанных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смазочных материалов, масел) по группам.........16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физико-химическим показателям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качества отработанной продукции (смазочным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материалам, маслам) при их сборе,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(накоплении) и сдаче-приеме на переработку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(утилизацию).....................................17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Схемы декларирования соответствия продукции.....18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ПРЕДИСЛОВИЕ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технический регламент Таможенного союза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смазочным материалам, маслам и специальным жидкостям, к отработанным смазочным материалам, маслам и специальным жидкостям и к продуктам, полученным в результате переработки (утилизации) отработанной продукции на этапах жизненного цикла продукции, выпускаемых в обращение на единой таможенной территории Таможенного союза.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смазочных материалов, масел и специальных жидкостей, продуктов, полученных в результате переработки (утилизации) отработанной продукции, будут приняты иные технические регламенты Таможенного союза, то смазочные материалы, масла и специальные жидкости, продукты, полученные в результате переработки (утилизации) отработанной продукции, должны соответствовать требованиям технических регламентов Таможенного союза, действие которых на них распространяется.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. ОБЛАСТЬ ПРИМЕНЕНИЯ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технический регламент устанавливает требования к смазочным материалам, маслам и специальным жидкостям (далее – продукция), к отработанным смазочным материалам, маслам и специальным жидкостям (далее – отработанная продукция), к продуктам, полученным в результате переработки отработанной продукции, в целях защиты жизни и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(пользователей), а также в целях ресурсосбережения.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распространяется на: а) смазочные материалы, в том числе: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смазочные масла органического происхождения, в том числе: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масла моторные (универсальные, карбюраторные, дизельные, для авиационных поршневых двигателей);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масла трансмиссионные;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масла гидравлические;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масла индустриальные;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масла компрессорные;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масла турбинные;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масла антикоррозионные;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масла электроизоляционные;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масла базовые.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пластичные смазки;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специальные жидкости: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охлаждающие жидкости (в том числе смазочно-охлаждающие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жидкости);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тормозные жидкости;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отработанную продукцию.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Основными опасными факторами (рисками), возникающими при выпуске в обращение, обращении, использовании (эксплуатации) и переработке (утилизации) продукции, являются: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пожаров зрывоопасность продукции;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воды и механических примесей, в количестве, превышающем установленные нормы;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воздействие отработанной продукции при попадании ее в окружающую среду;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вредное воздействие на организм человека.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Настоящий технический регламент распространяется на выпускаемую в обращение, находящуюся в обращении на единой таможенной территории Таможенного союза продукцию и отработанную продукцию.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Настоящий технический регламент не распространяется наследующую продукцию: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поставляемую по государственному оборонному заказу;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поставляемую на экспорт за пределы единой таможенной территории Таможенного союза;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на хранении в организациях, обеспечивающих сохранность государственного материального резерва;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масла растительного и животного происхождения;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полученную в результате высокотемпературной перегонки каменноугольной смолы (в том числе креозотовые);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подпадающую под понятия "масло", "смазочный материал", "специальная жидкость",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масла, применяемые для изготовления парфюмерно-косметической продукции, изделий медицинского назначения и лекарственных средств.</w:t>
      </w:r>
    </w:p>
    <w:bookmarkEnd w:id="41"/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ОПРЕДЕЛЕНИЯ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техническом регламенте применяются следующие термины и их определения: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безопасность</w:t>
      </w:r>
      <w:r>
        <w:rPr>
          <w:rFonts w:ascii="Times New Roman"/>
          <w:b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выпуск</w:t>
      </w:r>
      <w:r>
        <w:rPr>
          <w:rFonts w:ascii="Times New Roman"/>
          <w:b/>
          <w:i w:val="false"/>
          <w:color w:val="000000"/>
          <w:sz w:val="28"/>
        </w:rPr>
        <w:t xml:space="preserve"> в 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первичный переход продукции от изготовителя (импортера) к продавцу и (или) потребителю;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идентификация</w:t>
      </w:r>
      <w:r>
        <w:rPr>
          <w:rFonts w:ascii="Times New Roman"/>
          <w:b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установление тождественности характеристик продукции, представленной для обязательного подтверждения соответствия, характеристикам, указанным в сопроводительных документах к продукции;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идентификация</w:t>
      </w:r>
      <w:r>
        <w:rPr>
          <w:rFonts w:ascii="Times New Roman"/>
          <w:b/>
          <w:i w:val="false"/>
          <w:color w:val="000000"/>
          <w:sz w:val="28"/>
        </w:rPr>
        <w:t xml:space="preserve">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определение принадлежности отработанной продукции к отходам того или иного вида и установление данных о ее опасных, ресурсных, технологических и других характеристиках;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изготовитель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в том числе иностранное, или индивидуальный предприниматель, осуществляющие от своего имени и (или) по поручению изготовление и реализацию продукции, ответственные за ее соответствие требованиям настоящего технического регламента;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импортер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резидент государства – члена Таможенного союза, который заключает с нерезидентом государства Таможенного союза внешнеторговый договор на передачу продукции (отработанной продукции), осуществляет хранение и реализацию (оптовую и (или) розничную торговлю) этой продукции (отработанной продукции) и несет ответственность за ее соответствие требованиям настоящего технического регламента;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жизненный</w:t>
      </w:r>
      <w:r>
        <w:rPr>
          <w:rFonts w:ascii="Times New Roman"/>
          <w:b/>
          <w:i w:val="false"/>
          <w:color w:val="000000"/>
          <w:sz w:val="28"/>
        </w:rPr>
        <w:t xml:space="preserve"> цикл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этапы (стадии) состояния продукции при выпуске в обращение, обращении, использовании (эксплуатации) и переработке (утилизации);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марка</w:t>
      </w:r>
      <w:r>
        <w:rPr>
          <w:rFonts w:ascii="Times New Roman"/>
          <w:b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словесное и (или) буквенное, цифровое обозначение продукции;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жидкость нефтяного или синтетического (полусинтетического) происхождения, используемая в качестве смазочного материала и (или) специальной жидкости;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антикоррозионные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 применяемые для временной защиты черных и цветных металлов от коррозии;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базовые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масла, применяемые в качестве сырья для получения товарных смазочных масел;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индустриальные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в машинах и механизмах промышленного оборудования;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компрессорные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для смазки поршневых и ротационных компрессоров;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моторные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для поршневых двигателей внутреннего сгорания;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трансмиссионные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масла, применяемые для смазывания агрегатов трансмиссий различных машин и механизмов;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турбинные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для смазки турбоагрегатов: паровых газовых турбин, турбокомпрессорных машин, гидротурбин, судовых паротурбинных установок;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масла</w:t>
      </w:r>
      <w:r>
        <w:rPr>
          <w:rFonts w:ascii="Times New Roman"/>
          <w:b/>
          <w:i w:val="false"/>
          <w:color w:val="000000"/>
          <w:sz w:val="28"/>
        </w:rPr>
        <w:t xml:space="preserve"> электроизоляционные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масла, применяемые для изоляции и охлаждения электрических аппаратов и устройств: трансформаторов, конденсаторов, кабелей;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обращение</w:t>
      </w:r>
      <w:r>
        <w:rPr>
          <w:rFonts w:ascii="Times New Roman"/>
          <w:b/>
          <w:i w:val="false"/>
          <w:color w:val="000000"/>
          <w:sz w:val="28"/>
        </w:rPr>
        <w:t xml:space="preserve"> продукции на рынке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этапы движения продукции от изготовителя к потребителю (пользователю), которые проходит продукция после выпуска ее в обращение;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обращение</w:t>
      </w:r>
      <w:r>
        <w:rPr>
          <w:rFonts w:ascii="Times New Roman"/>
          <w:b/>
          <w:i w:val="false"/>
          <w:color w:val="000000"/>
          <w:sz w:val="28"/>
        </w:rPr>
        <w:t xml:space="preserve">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этапы сбора и переработки (утилизации) отработанной продукции;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отработанная</w:t>
      </w:r>
      <w:r>
        <w:rPr>
          <w:rFonts w:ascii="Times New Roman"/>
          <w:b/>
          <w:i w:val="false"/>
          <w:color w:val="000000"/>
          <w:sz w:val="28"/>
        </w:rPr>
        <w:t xml:space="preserve"> продукция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отработанные смазочные материалы, отработанные масла и отработанные специальные жидкости, утратившие эксплуатационные свойства, в том числе слитые из рабочих систем, классифицируемые как отходы и подлежащие переработке (утилизации) с целью получения смазочных материалов, масел и специальных жидкостей;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партия</w:t>
      </w:r>
      <w:r>
        <w:rPr>
          <w:rFonts w:ascii="Times New Roman"/>
          <w:b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продукции одной марки, сопровождаемое одним документом о качестве (паспортом);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/>
          <w:i w:val="false"/>
          <w:color w:val="000000"/>
          <w:sz w:val="28"/>
        </w:rPr>
        <w:t xml:space="preserve"> безопасности химической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 установленной формы, содержащий сведения об опасных свойствах химической продукции, сведения об изготовителях (поставщиках, импортерах) такой продукции, меры предупреждения и требования безопасности для обеспечения безопасного обращения химической продукции;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/>
          <w:i w:val="false"/>
          <w:color w:val="000000"/>
          <w:sz w:val="28"/>
        </w:rPr>
        <w:t xml:space="preserve"> качества продукции (отработанной продукции)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устанавливающий соответствие численных значений показателей качества продукции (отработанной продукции), полученных в результате лабораторных испытаний, требованиям нормативной документации, выдаваемый изготовителем;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потребитель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физическое или юридическое лицо, имеющее намерение заказать или приобрести, либо заказывающее, приобретающее или использующее продукцию исключительно для собственных нужд;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продавец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 или индивидуальный предприниматель, являющиеся резидентом государства – члена Таможенного союза, осуществляющие оптовую (розничную) реализацию продукции потребителю (пользователю) и ответственные за обращение на рынке продукции (отработанной продукции), соответствующей требованиям настоящего технического регламента;</w:t>
      </w:r>
    </w:p>
    <w:bookmarkEnd w:id="68"/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пункт</w:t>
      </w:r>
      <w:r>
        <w:rPr>
          <w:rFonts w:ascii="Times New Roman"/>
          <w:b/>
          <w:i w:val="false"/>
          <w:color w:val="000000"/>
          <w:sz w:val="28"/>
        </w:rPr>
        <w:t xml:space="preserve"> сбора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инженерно-технический комплекс, предназначенный для приема, хранения, учета, подготовки и отгрузки отработанной продукции;</w:t>
      </w:r>
    </w:p>
    <w:bookmarkEnd w:id="69"/>
    <w:bookmarkStart w:name="z1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сбор</w:t>
      </w:r>
      <w:r>
        <w:rPr>
          <w:rFonts w:ascii="Times New Roman"/>
          <w:b/>
          <w:i w:val="false"/>
          <w:color w:val="000000"/>
          <w:sz w:val="28"/>
        </w:rPr>
        <w:t xml:space="preserve">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деятельность, связанная с изъятием отработанной продукции из мест ее образования, для последующей ее переработки (утилизации);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смазочный</w:t>
      </w:r>
      <w:r>
        <w:rPr>
          <w:rFonts w:ascii="Times New Roman"/>
          <w:b/>
          <w:i w:val="false"/>
          <w:color w:val="000000"/>
          <w:sz w:val="28"/>
        </w:rPr>
        <w:t xml:space="preserve"> материал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вещество нефтяного или синтетического происхождения, облегчающее процесс трения на рабочих поверхностях соприкасающихся деталей, в результате которого уменьшается сила трения и изнашивание поверхности;</w:t>
      </w:r>
    </w:p>
    <w:bookmarkEnd w:id="71"/>
    <w:bookmarkStart w:name="z1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специальная</w:t>
      </w:r>
      <w:r>
        <w:rPr>
          <w:rFonts w:ascii="Times New Roman"/>
          <w:b/>
          <w:i w:val="false"/>
          <w:color w:val="000000"/>
          <w:sz w:val="28"/>
        </w:rPr>
        <w:t xml:space="preserve"> жидкость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жидкость нефтяного или синтетического происхождения, предназначенная для использования в качестве рабочего тела;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переработка</w:t>
      </w:r>
      <w:r>
        <w:rPr>
          <w:rFonts w:ascii="Times New Roman"/>
          <w:b/>
          <w:i w:val="false"/>
          <w:color w:val="000000"/>
          <w:sz w:val="28"/>
        </w:rPr>
        <w:t xml:space="preserve"> (утилизация)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процессы завершения жизненного цикла отработанной продукции с целью получения новой продукции.</w:t>
      </w:r>
    </w:p>
    <w:bookmarkEnd w:id="73"/>
    <w:bookmarkStart w:name="z16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. ПРАВИЛА ОБРАЩЕНИЯ ПРОДУКЦИИ НА РЫНКЕ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Продукция, выпускаемая в обращение на единой таможенной территории Таможенного союза, должна соответствовать требованиям настоящего технического регламента, а также другим техническим регламентам Таможенного союза, действие которых на нее распространяется.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Допускается выпуск в обращение и обращение продукции, соответствие которой подтверждено требованиям настоящего технического регламента.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Идентификация смазочных материалов, масел и специальных жидкостей в целях применения настоящего технического регламента проводится по документации. В качестве документации могут быть использованы технические документы, и/или паспорта качества, протоколы испытаний, и/или договоры поставки, и/или спецификации, и/или этикетки, и/или аннотации и другие документы, характеризующие продукцию. Признаками, характеризующими масла, смазочный материал и специальные жидкости, является использование продукции в качестве смазочного материала или специальной жидкости.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отработанной продукции проводится по признакам: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предназначена исключительно для переработки (утилизации) с целью получения товарных нефтепродуктов;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получена в результате использования продукции по прямому назначению;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используется в качестве исходного сырья для получения товарных нефтепродуктов.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Каждая партия смазочных материалов, масел и специальныхжидкостей, выпускаемая в обращение и (или) находящаяся в обращении,должна сопровождаться паспортом качества продукции.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должен содержать: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обозначение марки и назначение продукции;</w:t>
      </w:r>
    </w:p>
    <w:bookmarkEnd w:id="84"/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изготовителя (уполномоченного изготовителем лица) или импортера, или продавца, его товарный знак (при наличии), местонахождение (с указанием страны), информация для связи с ним;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значения показателей безопасности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и фактические результаты испытаний;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документа, в соответствии с которым производится продукция (при наличии);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показателей продукции, установленные нормативным документом, в соответствии с которым произведена продукция, и фактические результаты испытаний;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условия хранения;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(месяц, год);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партии;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паспорта;</w:t>
      </w:r>
    </w:p>
    <w:bookmarkEnd w:id="92"/>
    <w:bookmarkStart w:name="z1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оформившего паспорт.</w:t>
      </w:r>
    </w:p>
    <w:bookmarkEnd w:id="93"/>
    <w:bookmarkStart w:name="z1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Продукция должна иметь паспорт безопасности химической продукции (далее – паспорт безопасности).</w:t>
      </w:r>
    </w:p>
    <w:bookmarkEnd w:id="94"/>
    <w:bookmarkStart w:name="z1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Продавец по требованию потребителя обязан предоставить потребителю копию паспорта качества и/или копию паспорта безопасности.</w:t>
      </w:r>
    </w:p>
    <w:bookmarkEnd w:id="95"/>
    <w:bookmarkStart w:name="z1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Паспорт качества и паспорт безопасности выполняются на русском языке и/или государственном языке государства – члена Таможенного союза, на территории которого данная продукция будет реализовываться.</w:t>
      </w:r>
    </w:p>
    <w:bookmarkEnd w:id="96"/>
    <w:bookmarkStart w:name="z1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Требования к обращению отработанной продукции.</w:t>
      </w:r>
    </w:p>
    <w:bookmarkEnd w:id="97"/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3.8.1. Отработанная продукция подлежит сдаче на пункты сбора отработанной продукции для подготовки к последующей переработке(утилизации).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отработанной продукции осуществляется по маркам или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3.8.2. Отработанная продукция, поставляемая с пунктов сбора отработанной продукции на переработку (утилизацию), либо подготовленная к самостоятельной переработке (утилизации) организацией-производителем отработанной продукции, должна сопровождаться паспортом качества и соответствовать требованиям,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Требования настоящего технического регламента,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на отработанную продукцию, сдаваемую на пункты сбора отработанной продукции, не распространяются.</w:t>
      </w:r>
    </w:p>
    <w:bookmarkEnd w:id="100"/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3.8.3. При обращении отработанной продукции запрещается:</w:t>
      </w:r>
    </w:p>
    <w:bookmarkEnd w:id="101"/>
    <w:bookmarkStart w:name="z1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(слив) в водоемы, на почву и в канализационные сети общего пользования;</w:t>
      </w:r>
    </w:p>
    <w:bookmarkEnd w:id="102"/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на полигоны для бытовых и промышленных отходов с последующим захоронением;</w:t>
      </w:r>
    </w:p>
    <w:bookmarkEnd w:id="103"/>
    <w:bookmarkStart w:name="z1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с нефтью (газовым конденсатом), бензином, керосином, топливом (дизельным, судовым, котельно-печным, мазутом) с целью получения топлива, предназначенного для энергетических установок, за исключением случаев, разрешенных компетентными органами государств – членов Таможенного союза в области природопользования и охраны окружающей среды;</w:t>
      </w:r>
    </w:p>
    <w:bookmarkEnd w:id="104"/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с продукцией, содержащей галогенорганические соединения;</w:t>
      </w:r>
    </w:p>
    <w:bookmarkEnd w:id="105"/>
    <w:bookmarkStart w:name="z1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 качестве антиадгезионных материалов и средств для пропитки строительных материалов.</w:t>
      </w:r>
    </w:p>
    <w:bookmarkEnd w:id="106"/>
    <w:bookmarkStart w:name="z1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3.8.4 Деятельность по сбору и утилизации отработанной продукции осуществляется в соответствии с законодательством государств – членов Таможенного союза.</w:t>
      </w:r>
    </w:p>
    <w:bookmarkEnd w:id="107"/>
    <w:bookmarkStart w:name="z19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. ТРЕБОВАНИЯ БЕЗОПАСНОСТИ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Продукция и продукты, полученные в результате переработки (утилизации) отработанной продукции (смазочные материалы, масла и специальные жидкости, полученные в результате переработки (утилизации) отработанной продукции), должны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09"/>
    <w:bookmarkStart w:name="z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Упакованная продукция должна быть маркирована. Маркировка должна содержать:</w:t>
      </w:r>
    </w:p>
    <w:bookmarkEnd w:id="110"/>
    <w:bookmarkStart w:name="z2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(юридический адрес, включая страну) изготовителя, его товарный знак (при наличии);</w:t>
      </w:r>
    </w:p>
    <w:bookmarkEnd w:id="111"/>
    <w:bookmarkStart w:name="z2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обозначение марки и назначение продукции;</w:t>
      </w:r>
    </w:p>
    <w:bookmarkEnd w:id="112"/>
    <w:bookmarkStart w:name="z2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документа, в соответствии с которым производится (при наличии);</w:t>
      </w:r>
    </w:p>
    <w:bookmarkEnd w:id="113"/>
    <w:bookmarkStart w:name="z2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 условия хранения;</w:t>
      </w:r>
    </w:p>
    <w:bookmarkEnd w:id="114"/>
    <w:bookmarkStart w:name="z2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изготовления;</w:t>
      </w:r>
    </w:p>
    <w:bookmarkEnd w:id="115"/>
    <w:bookmarkStart w:name="z2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партии;</w:t>
      </w:r>
    </w:p>
    <w:bookmarkEnd w:id="116"/>
    <w:bookmarkStart w:name="z2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штриховой идентификационный код (при необходимости).</w:t>
      </w:r>
    </w:p>
    <w:bookmarkEnd w:id="117"/>
    <w:bookmarkStart w:name="z2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Продукция, способная оказывать вредное воздействие на здоровье человека, окружающую среду, обладающая пожароопасными свойствами, должна иметь соответствующую предупредительную маркировку.</w:t>
      </w:r>
    </w:p>
    <w:bookmarkEnd w:id="118"/>
    <w:bookmarkStart w:name="z2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Маркировка должна быть изложена на официальном и государственном языке государства – члена Таможенного союза, на территории которого данная продукция реализуется потребителю, при наличии соответствующих требований в законодательстве(ах) государства(в) – члена(ов) Таможенного союза, за исключением наименования изготовителя и наименования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</w:p>
    <w:bookmarkEnd w:id="119"/>
    <w:bookmarkStart w:name="z2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Маркировка должна быть четкой и разборчивой, выполнена способом, обеспечивающим ее сохранность к упакованной продукции и воздействиям внешней среды.</w:t>
      </w:r>
    </w:p>
    <w:bookmarkEnd w:id="120"/>
    <w:bookmarkStart w:name="z2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При поставке неупакованной продукции сведения о ней приводятся в паспорте качества.</w:t>
      </w:r>
    </w:p>
    <w:bookmarkEnd w:id="121"/>
    <w:bookmarkStart w:name="z21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. ОБЕСПЕЧЕНИЕ СООТВЕТСТВИЯ</w:t>
      </w:r>
    </w:p>
    <w:bookmarkEnd w:id="122"/>
    <w:bookmarkStart w:name="z2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Соответствие продукции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123"/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Правила и методы исследований (испытаний) и измерений, в том числе правила отбора проб,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продукции, устанавливаются в межгосударственных стандартах, а в случае их отсутствия (до принятия межгосударственных стандартов) – национальных (государственных) стандартах государств – членов Таможенного союза. </w:t>
      </w:r>
    </w:p>
    <w:bookmarkEnd w:id="124"/>
    <w:bookmarkStart w:name="z2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. ПОДТВЕРЖДЕНИЕ СООТВЕТСТВИЯ</w:t>
      </w:r>
    </w:p>
    <w:bookmarkEnd w:id="125"/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Перед выпуском в обращение на рынок продукция должна быть подвергнута процедуре подтверждения соответствия в форме декларирования соответствия. При подтверждении соответствия заявителем может быть юридическое лицо или физическое лицо в качестве индивидуального предпринимателя, являющееся изготовителем (уполномоченным изготовителем лицом), или импортером (продавцом).</w:t>
      </w:r>
    </w:p>
    <w:bookmarkEnd w:id="126"/>
    <w:bookmarkStart w:name="z2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Перед подтверждением соответствия проводится процедура идентификации продукции.</w:t>
      </w:r>
    </w:p>
    <w:bookmarkEnd w:id="127"/>
    <w:bookmarkStart w:name="z2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Декларирование соответствия продукции требованиям настоящего технического регламента осуществляется по схемам 1Д или 2Д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28"/>
    <w:bookmarkStart w:name="z2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Испытания в целях декларирования соответствия организовываются изготовителем (уполномоченным изготовителем лицом), импортером (продавцом) в испытательной лаборатории или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союза.</w:t>
      </w:r>
    </w:p>
    <w:bookmarkEnd w:id="129"/>
    <w:bookmarkStart w:name="z2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При проведении подтверждения соответствия продукции заявитель формирует комплект документов, подтверждающий соответствие данной продукции требованиям безопасности настоящего технического регламента, который включает:</w:t>
      </w:r>
    </w:p>
    <w:bookmarkEnd w:id="130"/>
    <w:bookmarkStart w:name="z2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(при наличии);</w:t>
      </w:r>
    </w:p>
    <w:bookmarkEnd w:id="131"/>
    <w:bookmarkStart w:name="z2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(договор на поставку) и товаросопроводительную документацию (при декларировании соответствия по схеме 2Д);</w:t>
      </w:r>
    </w:p>
    <w:bookmarkEnd w:id="132"/>
    <w:bookmarkStart w:name="z2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систему менеджмента качества изготовителя (при наличии);</w:t>
      </w:r>
    </w:p>
    <w:bookmarkEnd w:id="133"/>
    <w:bookmarkStart w:name="z2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продукции;</w:t>
      </w:r>
    </w:p>
    <w:bookmarkEnd w:id="134"/>
    <w:bookmarkStart w:name="z2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безопасности продукции;</w:t>
      </w:r>
    </w:p>
    <w:bookmarkEnd w:id="135"/>
    <w:bookmarkStart w:name="z2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испытаний, подтверждающие соответствие продукции требованиям безопасности настоящего технического регламента;</w:t>
      </w:r>
    </w:p>
    <w:bookmarkEnd w:id="136"/>
    <w:bookmarkStart w:name="z2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подтверждающего, что заявитель зарегистрирован в установленном порядке в государстве – члене Таможенного союза в качестве юридического лица или индивидуального предпринимателя;</w:t>
      </w:r>
    </w:p>
    <w:bookmarkEnd w:id="137"/>
    <w:bookmarkStart w:name="z2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соответствия, выданные, в том числе зарубежными органами по сертификации (при наличии).</w:t>
      </w:r>
    </w:p>
    <w:bookmarkEnd w:id="138"/>
    <w:bookmarkStart w:name="z2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6.6. При декларировании соответствия по схеме 1Д заявитель формирует комплект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осуществляет производственный контроль и принимает все необходимые меры для того, чтобы процесс производства обеспечивал соответствие продукции требованиям настоящего технического регламента, проводит испытания образцов, принимает и регистрирует декларацию о соответствии и наносит единый знак обращения продукции на рынке государств – членов Таможенного союза.</w:t>
      </w:r>
    </w:p>
    <w:bookmarkEnd w:id="139"/>
    <w:bookmarkStart w:name="z2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6.7. При декларировании соответствия по схеме 2Д заявитель формирует комплект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проводит испытания образцов, принимает и регистрирует декларацию о соответствии и наносит единый знак обращения продукции на рынке государств – членов Таможенного союза.</w:t>
      </w:r>
    </w:p>
    <w:bookmarkEnd w:id="140"/>
    <w:bookmarkStart w:name="z2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 Декларация о соответствии подлежит регистрации в порядке, установленном законодательством Таможенного союза.</w:t>
      </w:r>
    </w:p>
    <w:bookmarkEnd w:id="141"/>
    <w:bookmarkStart w:name="z23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декларации о соответствии начинается с даты ее регистрации:</w:t>
      </w:r>
    </w:p>
    <w:bookmarkEnd w:id="142"/>
    <w:bookmarkStart w:name="z2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серийно выпускаемой продукции – не более трех лет; для партии продукции – на срок хранения продукции.</w:t>
      </w:r>
    </w:p>
    <w:bookmarkEnd w:id="143"/>
    <w:bookmarkStart w:name="z2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 Комплект документов на продукцию, включая декларацию о соответствии, должен храниться на территории государств – членов Таможенного союза:</w:t>
      </w:r>
    </w:p>
    <w:bookmarkEnd w:id="144"/>
    <w:bookmarkStart w:name="z2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продукцию, выпускаемую серийно – у изготовителя (уполномоченного лица) в течение не менее десяти лет со дня снятия (прекращения) с производства продукции;</w:t>
      </w:r>
    </w:p>
    <w:bookmarkEnd w:id="145"/>
    <w:bookmarkStart w:name="z2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партию продукции – у импортера (продавца), изготовителя (уполномоченного лица) в течение не менее десяти лет с даты регистрации декларации о соответствии.</w:t>
      </w:r>
    </w:p>
    <w:bookmarkEnd w:id="146"/>
    <w:bookmarkStart w:name="z24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МАРКИРОВКА ЕДИНЫМ ЗНАКОМ ОБРАЩЕНИЯ ПРОДУКЦИИ НА РЫНКЕ ГОСУДАРСТВ – ЧЛЕНОВ ТАМОЖЕННОГО СОЮЗА</w:t>
      </w:r>
    </w:p>
    <w:bookmarkEnd w:id="147"/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Смазочные материалы, масла и специальные жидкости, соответствующие требованиям настоящего технического регламента и прошедшие процедуры подтверждения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должны иметь маркировку единым знаком обращения продукции на рынке государств – членов Таможенного союза.</w:t>
      </w:r>
    </w:p>
    <w:bookmarkEnd w:id="148"/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Маркировка единым знаком обращения продукции на рынке государств – членов Таможенного союза осуществляется перед выпуском смазочных материалов, масел и специальных жидкостей в обращение на рынке.</w:t>
      </w:r>
    </w:p>
    <w:bookmarkEnd w:id="149"/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Смазочные материалы, масла и специальные жидкости маркируются единым знаком обращения продукции на рынке государств – членов Таможенного союза при их соответствии требованиям всех технических регламентов Таможенного союза, действие которых на них распространяется и предусматривающих нанесение данного знака.</w:t>
      </w:r>
    </w:p>
    <w:bookmarkEnd w:id="150"/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Единый знак обращения продукции на рынке государств – членов Таможенного союза наносится на каждую единицу упаковки, а также приводится в паспорте качества.</w:t>
      </w:r>
    </w:p>
    <w:bookmarkEnd w:id="151"/>
    <w:bookmarkStart w:name="z24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. ЗАЩИТИТЕЛЬНАЯ ОГОВОРКА</w:t>
      </w:r>
    </w:p>
    <w:bookmarkEnd w:id="152"/>
    <w:bookmarkStart w:name="z2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Ответственность за несоблюдение требований настоящего технического регламента, а также за нарушение процедур проведения подтверждения соответствия продукции требованиям настоящего технического регламента устанавливается законодательством каждой Стороны. При обнаружении продукции, не соответствующей требованиям настоящего технического регламента или подлежащей подтверждению соответствия установленным к ней обязательным требованиям и поступающей или находящейся в обращении без документа о подтверждении соответствия и (или) без маркировки единым знаком обращения продукции на рынке государств – членов Таможенного союза, уполномоченные органы каждой Стороны принимают меры по недопущению выпуска данной продукции в обращение, по изъятию ее из обращения в соответствии с законодательством Стороны, а также по информированию об этом других Сторон.</w:t>
      </w:r>
    </w:p>
    <w:bookmarkEnd w:id="153"/>
    <w:bookmarkStart w:name="z2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Государственный контроль (надзор) за соблюдением требований настоящего технического регламента проводится в порядке, установленном законодательством государств – членов Таможенного союза.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смазочным материалам, маслам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жидкостям" (ТР ТС 030/2012)</w:t>
            </w:r>
          </w:p>
        </w:tc>
      </w:tr>
    </w:tbl>
    <w:bookmarkStart w:name="z2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продукции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3"/>
        <w:gridCol w:w="670"/>
        <w:gridCol w:w="2474"/>
        <w:gridCol w:w="2733"/>
      </w:tblGrid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Пластичные смазки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жидкости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самовоспламенения***,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тигле,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селективных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растворителей*, %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кипения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давлении 101,3 кПа (760 мм. 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ст.),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охлаждающих жидкостей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тормозных жидкостей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 115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кристаллизации,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выше: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охлаждающих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низкозамерзающих жидкостей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35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воды*, % масс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"Следы"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примесей, % масс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0,03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полихлордифенилов**,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метилового спирта, % масс., - для охлаждающих жидкостей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для масел без присадок;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для трансформаторных и кабельных масел;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при декларировании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смазочным материалам, маслам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жидкостям" (ТР ТС 030/2012)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отработанной продукции</w:t>
      </w:r>
      <w:r>
        <w:br/>
      </w:r>
      <w:r>
        <w:rPr>
          <w:rFonts w:ascii="Times New Roman"/>
          <w:b/>
          <w:i w:val="false"/>
          <w:color w:val="000000"/>
        </w:rPr>
        <w:t>(отработанных смазочных материалов, масел) по группам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927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 отработанные: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универсальные, карбюраторные, дизельные,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авиационных поршневых двигателей.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индустриальные отработанные: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трансмиссионные;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индустриальные;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газотурбинные и турбинные;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трансформаторные;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компрессорные;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гидравлические;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антикоррозионные;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электроизоляционные.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нефтепродуктов отработанных: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промывочные жидкости;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масла, применявшиеся при термической обработке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трансмиссионные, осевые, обкаточные, цилиндровые;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масла, извлекаемые из нефтяных эмульсий;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нефтепродуктов, собранные при зачистке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транспортирования, извлекаемые из 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нефтесодержащих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жидкости: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охлаждающие жидкости (в том числе смазочно-охлаждающие жидкости);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смазочным материалам, маслам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жидкостям" (ТР ТС 030/2012)</w:t>
            </w:r>
          </w:p>
        </w:tc>
      </w:tr>
    </w:tbl>
    <w:bookmarkStart w:name="z2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физико-химическим показателям качества</w:t>
      </w:r>
      <w:r>
        <w:br/>
      </w:r>
      <w:r>
        <w:rPr>
          <w:rFonts w:ascii="Times New Roman"/>
          <w:b/>
          <w:i w:val="false"/>
          <w:color w:val="000000"/>
        </w:rPr>
        <w:t>отработанной продукции (смазочным материалам, маслам) при их</w:t>
      </w:r>
      <w:r>
        <w:br/>
      </w:r>
      <w:r>
        <w:rPr>
          <w:rFonts w:ascii="Times New Roman"/>
          <w:b/>
          <w:i w:val="false"/>
          <w:color w:val="000000"/>
        </w:rPr>
        <w:t>сборе, хранении (накоплении) и сдаче-приеме на переработку</w:t>
      </w:r>
      <w:r>
        <w:br/>
      </w:r>
      <w:r>
        <w:rPr>
          <w:rFonts w:ascii="Times New Roman"/>
          <w:b/>
          <w:i w:val="false"/>
          <w:color w:val="000000"/>
        </w:rPr>
        <w:t>(утилизацию)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1"/>
        <w:gridCol w:w="2214"/>
        <w:gridCol w:w="3674"/>
        <w:gridCol w:w="1051"/>
      </w:tblGrid>
      <w:tr>
        <w:trPr>
          <w:trHeight w:val="30" w:hRule="atLeast"/>
        </w:trPr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Кинематическая вязкость при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(сСт)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35*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Температура вспышки, определяемая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открытом тигле,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Массовая доля механических примесей, %,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Массовая доля воды, %, не более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Содержание загрязнений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Показатель может быть больше для отдельных марок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смазочным материалам, маслам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жидкостям" (ТР ТС 030/2012)</w:t>
            </w:r>
          </w:p>
        </w:tc>
      </w:tr>
    </w:tbl>
    <w:bookmarkStart w:name="z2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декларирования соответствия продукции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1578"/>
        <w:gridCol w:w="1777"/>
        <w:gridCol w:w="1778"/>
        <w:gridCol w:w="2794"/>
        <w:gridCol w:w="2187"/>
      </w:tblGrid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схемы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продукцию,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