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a7a2" w14:textId="d68a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технического регламента Таможенного союза "О требованиях к смазочным материалам, маслам и специальным жидкостям"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июля 2012 года № 59.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требованиях к смазочным материалам, маслам и специальным жидкостям" (ТР ТС 030/2012) (прилагается).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технический регламент Таможенного союза "О требованиях к смазочным материалам, маслам и специальным жидкостям" (ТР ТС 030/2012) вступает в силу с 1 марта 2014 года.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Келимбетов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2012 г. № 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49600" cy="157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ТЕХНИЧЕСКИЙ РЕГЛАМЕНТ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 ТС 030/2012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требованиях к смазочным материалам, маслам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специальным жидкостям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Предисловие</w:t>
      </w:r>
      <w:r>
        <w:rPr>
          <w:rFonts w:ascii="Times New Roman"/>
          <w:b w:val="false"/>
          <w:i w:val="false"/>
          <w:color w:val="000000"/>
          <w:sz w:val="28"/>
        </w:rPr>
        <w:t>...................................................3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Область применения...................................3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Определения..........................................5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обращения продукции на рынке.................7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 безопасности.............................10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соответствия............................11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Подтверждение соответствия..........................11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Маркировка единым знаком обращения продукции на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государств – членов Таможенного союза...............13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Защитительная оговорка.............................13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 к характеристикам продукции..........15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Распределение отработанной продукции (отработанных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смазочных материалов, масел) по группам.........16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 к физико-химическим показателям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качества отработанной продукции (смазочным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материалам, маслам) при их сборе, хранении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(накоплении) и сдаче-приеме на переработку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(утилизацию).....................................17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Схемы декларирования соответствия продукции.....18</w:t>
      </w:r>
    </w:p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ПРЕДИСЛОВИЕ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технический регламент Таможенного союза (далее – технический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смазочным материалам, маслам и специальным жидкостям, к отработанным смазочным материалам, маслам и специальным жидкостям и к продуктам, полученным в результате переработки (утилизации) отработанной продукции на этапах жизненного цикла продукции, выпускаемых в обращение на единой таможенной территории Таможенного союза.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отношении смазочных материалов, масел и специальных жидкостей, продуктов, полученных в результате переработки (утилизации) отработанной продукции, будут приняты иные технические регламенты Таможенного союза, то смазочные материалы, масла и специальные жидкости, продукты, полученные в результате переработки (утилизации) отработанной продукции, должны соответствовать требованиям технических регламентов Таможенного союза, действие которых на них распространяется.</w:t>
      </w:r>
    </w:p>
    <w:bookmarkEnd w:id="9"/>
    <w:bookmarkStart w:name="z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. ОБЛАСТЬ ПРИМЕНЕНИЯ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Настоящий технический регламент устанавливает требования к смазочным материалам, маслам и специальным жидкостям (далее – продукция), к отработанным смазочным материалам, маслам и специальным жидкостям (далее – отработанная продукция), к продуктам, полученным в результате переработки отработанной продукции, в целях защиты жизни и здоровья человека, имущества, окружающей среды, жизни и (или) здоровья животных и растений, предупреждения действий, вводящих в заблуждение потребителей (пользователей), а также в целях ресурсосбережения.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технический регламент распространяется на: а) смазочные материалы, в том числе: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смазочные масла органического происхождения, в том числе: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масла моторные (универсальные, карбюраторные, дизельные, для авиационных поршневых двигателей);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масла трансмиссионные;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масла гидравлические;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масла индустриальные;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масла компрессорные;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масла турбинные;</w:t>
      </w:r>
    </w:p>
    <w:bookmarkEnd w:id="19"/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масла антикоррозионные;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масла электроизоляционные;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масла базовые.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пластичные смазки;</w:t>
      </w:r>
    </w:p>
    <w:bookmarkEnd w:id="23"/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специальные жидкости:</w:t>
      </w:r>
    </w:p>
    <w:bookmarkEnd w:id="24"/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охлаждающие жидкости (в том числе смазочно-охлаждающие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жидкости);</w:t>
      </w:r>
    </w:p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тормозные жидкости;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отработанную продукцию.</w:t>
      </w:r>
    </w:p>
    <w:bookmarkEnd w:id="27"/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Основными опасными факторами (рисками), возникающими при выпуске в обращение, обращении, использовании (эксплуатации) и переработке (утилизации) продукции, являются: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пожаров зрывоопасность продукции;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воды и механических примесей, в количестве, превышающем установленные нормы;</w:t>
      </w:r>
    </w:p>
    <w:bookmarkEnd w:id="30"/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экологическое воздействие отработанной продукции при попадании ее в окружающую среду;</w:t>
      </w:r>
    </w:p>
    <w:bookmarkEnd w:id="31"/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вредное воздействие на организм человека.</w:t>
      </w:r>
    </w:p>
    <w:bookmarkEnd w:id="32"/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Настоящий технический регламент распространяется на выпускаемую в обращение, находящуюся в обращении на единой таможенной территории Таможенного союза продукцию и отработанную продукцию.</w:t>
      </w:r>
    </w:p>
    <w:bookmarkEnd w:id="33"/>
    <w:bookmarkStart w:name="z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Настоящий технический регламент не распространяется наследующую продукцию:</w:t>
      </w:r>
    </w:p>
    <w:bookmarkEnd w:id="34"/>
    <w:bookmarkStart w:name="z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поставляемую по государственному оборонному заказу;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поставляемую на экспорт за пределы единой таможенной территории Таможенного союза;</w:t>
      </w:r>
    </w:p>
    <w:bookmarkEnd w:id="36"/>
    <w:bookmarkStart w:name="z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находящуюся на хранении в организациях, обеспечивающих сохранность государственного материального резерва;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масла растительного и животного происхождения;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полученную в результате высокотемпературной перегонки каменноугольной смолы (в том числе креозотовые);</w:t>
      </w:r>
    </w:p>
    <w:bookmarkEnd w:id="39"/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подпадающую под понятия "масло", "смазочный материал", "специальная жидкость",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регламента;</w:t>
      </w:r>
    </w:p>
    <w:bookmarkEnd w:id="40"/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масла, применяемые для изготовления парфюмерно-косметической продукции, изделий медицинского назначения и лекарственных средств.</w:t>
      </w:r>
    </w:p>
    <w:bookmarkEnd w:id="41"/>
    <w:bookmarkStart w:name="z7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ОПРЕДЕЛЕНИЯ</w:t>
      </w:r>
    </w:p>
    <w:bookmarkEnd w:id="42"/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техническом регламенте применяются следующие термины и их определения:</w:t>
      </w:r>
    </w:p>
    <w:bookmarkEnd w:id="43"/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безопасность</w:t>
      </w:r>
      <w:r>
        <w:rPr>
          <w:rFonts w:ascii="Times New Roman"/>
          <w:b/>
          <w:i w:val="false"/>
          <w:color w:val="000000"/>
          <w:sz w:val="28"/>
        </w:rPr>
        <w:t xml:space="preserve">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отсутствие недопустимого риска, связанного с причинением вреда жизни, здоровью человека, окружающей среде, в том числе растительному и животному миру, с учетом сочетания вероятности реализации опасного фактора и степени тяжести его последствий;</w:t>
      </w:r>
    </w:p>
    <w:bookmarkEnd w:id="44"/>
    <w:bookmarkStart w:name="z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выпуск</w:t>
      </w:r>
      <w:r>
        <w:rPr>
          <w:rFonts w:ascii="Times New Roman"/>
          <w:b/>
          <w:i w:val="false"/>
          <w:color w:val="000000"/>
          <w:sz w:val="28"/>
        </w:rPr>
        <w:t xml:space="preserve"> в обращение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первичный переход продукции от изготовителя (импортера) к продавцу и (или) потребителю;</w:t>
      </w:r>
    </w:p>
    <w:bookmarkEnd w:id="45"/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идентификация</w:t>
      </w:r>
      <w:r>
        <w:rPr>
          <w:rFonts w:ascii="Times New Roman"/>
          <w:b/>
          <w:i w:val="false"/>
          <w:color w:val="000000"/>
          <w:sz w:val="28"/>
        </w:rPr>
        <w:t xml:space="preserve">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установление тождественности характеристик продукции, представленной для обязательного подтверждения соответствия, характеристикам, указанным в сопроводительных документах к продукции;</w:t>
      </w:r>
    </w:p>
    <w:bookmarkEnd w:id="46"/>
    <w:bookmarkStart w:name="z8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идентификация</w:t>
      </w:r>
      <w:r>
        <w:rPr>
          <w:rFonts w:ascii="Times New Roman"/>
          <w:b/>
          <w:i w:val="false"/>
          <w:color w:val="000000"/>
          <w:sz w:val="28"/>
        </w:rPr>
        <w:t xml:space="preserve"> отработанной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определение принадлежности отработанной продукции к отходам того или иного вида и установление данных о ее опасных, ресурсных, технологических и других характеристиках;</w:t>
      </w:r>
    </w:p>
    <w:bookmarkEnd w:id="47"/>
    <w:bookmarkStart w:name="z8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изготовитель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юридическое лицо, в том числе иностранное, или индивидуальный предприниматель, осуществляющие от своего имени и (или) по поручению изготовление и реализацию продукции, ответственные за ее соответствие требованиям настоящего технического регламента;</w:t>
      </w:r>
    </w:p>
    <w:bookmarkEnd w:id="48"/>
    <w:bookmarkStart w:name="z8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импортер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резидент государства – члена Таможенного союза, который заключает с нерезидентом государства Таможенного союза внешнеторговый договор на передачу продукции (отработанной продукции), осуществляет хранение и реализацию (оптовую и (или) розничную торговлю) этой продукции (отработанной продукции) и несет ответственность за ее соответствие требованиям настоящего технического регламента;</w:t>
      </w:r>
    </w:p>
    <w:bookmarkEnd w:id="49"/>
    <w:bookmarkStart w:name="z9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жизненный</w:t>
      </w:r>
      <w:r>
        <w:rPr>
          <w:rFonts w:ascii="Times New Roman"/>
          <w:b/>
          <w:i w:val="false"/>
          <w:color w:val="000000"/>
          <w:sz w:val="28"/>
        </w:rPr>
        <w:t xml:space="preserve"> цикл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этапы (стадии) состояния продукции при выпуске в обращение, обращении, использовании (эксплуатации) и переработке (утилизации);</w:t>
      </w:r>
    </w:p>
    <w:bookmarkEnd w:id="50"/>
    <w:bookmarkStart w:name="z9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марка</w:t>
      </w:r>
      <w:r>
        <w:rPr>
          <w:rFonts w:ascii="Times New Roman"/>
          <w:b/>
          <w:i w:val="false"/>
          <w:color w:val="000000"/>
          <w:sz w:val="28"/>
        </w:rPr>
        <w:t xml:space="preserve">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словесное и (или) буквенное, цифровое обозначение продукции;</w:t>
      </w:r>
    </w:p>
    <w:bookmarkEnd w:id="51"/>
    <w:bookmarkStart w:name="z9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масло</w:t>
      </w:r>
      <w:r>
        <w:rPr>
          <w:rFonts w:ascii="Times New Roman"/>
          <w:b w:val="false"/>
          <w:i w:val="false"/>
          <w:color w:val="000000"/>
          <w:sz w:val="28"/>
        </w:rPr>
        <w:t xml:space="preserve"> - жидкость нефтяного или синтетического (полусинтетического) происхождения, используемая в качестве смазочного материала и (или) специальной жидкости;</w:t>
      </w:r>
    </w:p>
    <w:bookmarkEnd w:id="52"/>
    <w:bookmarkStart w:name="z10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масла</w:t>
      </w:r>
      <w:r>
        <w:rPr>
          <w:rFonts w:ascii="Times New Roman"/>
          <w:b/>
          <w:i w:val="false"/>
          <w:color w:val="000000"/>
          <w:sz w:val="28"/>
        </w:rPr>
        <w:t xml:space="preserve"> антикоррозионные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масла применяемые для временной защиты черных и цветных металлов от коррозии;</w:t>
      </w:r>
    </w:p>
    <w:bookmarkEnd w:id="53"/>
    <w:bookmarkStart w:name="z10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масла</w:t>
      </w:r>
      <w:r>
        <w:rPr>
          <w:rFonts w:ascii="Times New Roman"/>
          <w:b/>
          <w:i w:val="false"/>
          <w:color w:val="000000"/>
          <w:sz w:val="28"/>
        </w:rPr>
        <w:t xml:space="preserve"> базовые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масла, применяемые в качестве сырья для получения товарных смазочных масел;</w:t>
      </w:r>
    </w:p>
    <w:bookmarkEnd w:id="54"/>
    <w:bookmarkStart w:name="z10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масла</w:t>
      </w:r>
      <w:r>
        <w:rPr>
          <w:rFonts w:ascii="Times New Roman"/>
          <w:b/>
          <w:i w:val="false"/>
          <w:color w:val="000000"/>
          <w:sz w:val="28"/>
        </w:rPr>
        <w:t xml:space="preserve"> индустриальные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смазочные масла, применяемые в машинах и механизмах промышленного оборудования;</w:t>
      </w:r>
    </w:p>
    <w:bookmarkEnd w:id="55"/>
    <w:bookmarkStart w:name="z10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масла</w:t>
      </w:r>
      <w:r>
        <w:rPr>
          <w:rFonts w:ascii="Times New Roman"/>
          <w:b/>
          <w:i w:val="false"/>
          <w:color w:val="000000"/>
          <w:sz w:val="28"/>
        </w:rPr>
        <w:t xml:space="preserve"> компрессорные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смазочные масла, применяемые для смазки поршневых и ротационных компрессоров;</w:t>
      </w:r>
    </w:p>
    <w:bookmarkEnd w:id="56"/>
    <w:bookmarkStart w:name="z11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масла</w:t>
      </w:r>
      <w:r>
        <w:rPr>
          <w:rFonts w:ascii="Times New Roman"/>
          <w:b/>
          <w:i w:val="false"/>
          <w:color w:val="000000"/>
          <w:sz w:val="28"/>
        </w:rPr>
        <w:t xml:space="preserve"> моторные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смазочные масла, применяемые для поршневых двигателей внутреннего сгорания;</w:t>
      </w:r>
    </w:p>
    <w:bookmarkEnd w:id="57"/>
    <w:bookmarkStart w:name="z11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масла</w:t>
      </w:r>
      <w:r>
        <w:rPr>
          <w:rFonts w:ascii="Times New Roman"/>
          <w:b/>
          <w:i w:val="false"/>
          <w:color w:val="000000"/>
          <w:sz w:val="28"/>
        </w:rPr>
        <w:t xml:space="preserve"> трансмиссионные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масла, применяемые для смазывания агрегатов трансмиссий различных машин и механизмов;</w:t>
      </w:r>
    </w:p>
    <w:bookmarkEnd w:id="58"/>
    <w:bookmarkStart w:name="z11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масла</w:t>
      </w:r>
      <w:r>
        <w:rPr>
          <w:rFonts w:ascii="Times New Roman"/>
          <w:b/>
          <w:i w:val="false"/>
          <w:color w:val="000000"/>
          <w:sz w:val="28"/>
        </w:rPr>
        <w:t xml:space="preserve"> турбинные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смазочные масла, применяемые для смазки турбоагрегатов: паровых газовых турбин, турбокомпрессорных машин, гидротурбин, судовых паротурбинных установок;</w:t>
      </w:r>
    </w:p>
    <w:bookmarkEnd w:id="59"/>
    <w:bookmarkStart w:name="z12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масла</w:t>
      </w:r>
      <w:r>
        <w:rPr>
          <w:rFonts w:ascii="Times New Roman"/>
          <w:b/>
          <w:i w:val="false"/>
          <w:color w:val="000000"/>
          <w:sz w:val="28"/>
        </w:rPr>
        <w:t xml:space="preserve"> электроизоляционные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масла, применяемые для изоляции и охлаждения электрических аппаратов и устройств: трансформаторов, конденсаторов, кабелей;</w:t>
      </w:r>
    </w:p>
    <w:bookmarkEnd w:id="60"/>
    <w:bookmarkStart w:name="z12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обращение</w:t>
      </w:r>
      <w:r>
        <w:rPr>
          <w:rFonts w:ascii="Times New Roman"/>
          <w:b/>
          <w:i w:val="false"/>
          <w:color w:val="000000"/>
          <w:sz w:val="28"/>
        </w:rPr>
        <w:t xml:space="preserve"> продукции на рынке</w:t>
      </w:r>
      <w:r>
        <w:rPr>
          <w:rFonts w:ascii="Times New Roman"/>
          <w:b w:val="false"/>
          <w:i w:val="false"/>
          <w:color w:val="000000"/>
          <w:sz w:val="28"/>
        </w:rPr>
        <w:t xml:space="preserve"> - этапы движения продукции от изготовителя к потребителю (пользователю), которые проходит продукция после выпуска ее в обращение;</w:t>
      </w:r>
    </w:p>
    <w:bookmarkEnd w:id="61"/>
    <w:bookmarkStart w:name="z12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обращение</w:t>
      </w:r>
      <w:r>
        <w:rPr>
          <w:rFonts w:ascii="Times New Roman"/>
          <w:b/>
          <w:i w:val="false"/>
          <w:color w:val="000000"/>
          <w:sz w:val="28"/>
        </w:rPr>
        <w:t xml:space="preserve"> отработанной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этапы сбора и переработки (утилизации) отработанной продукции;</w:t>
      </w:r>
    </w:p>
    <w:bookmarkEnd w:id="62"/>
    <w:bookmarkStart w:name="z13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отработанная</w:t>
      </w:r>
      <w:r>
        <w:rPr>
          <w:rFonts w:ascii="Times New Roman"/>
          <w:b/>
          <w:i w:val="false"/>
          <w:color w:val="000000"/>
          <w:sz w:val="28"/>
        </w:rPr>
        <w:t xml:space="preserve"> продукция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отработанные смазочные материалы, отработанные масла и отработанные специальные жидкости, утратившие эксплуатационные свойства, в том числе слитые из рабочих систем, классифицируемые как отходы и подлежащие переработке (утилизации) с целью получения смазочных материалов, масел и специальных жидкостей;</w:t>
      </w:r>
    </w:p>
    <w:bookmarkEnd w:id="63"/>
    <w:bookmarkStart w:name="z13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партия</w:t>
      </w:r>
      <w:r>
        <w:rPr>
          <w:rFonts w:ascii="Times New Roman"/>
          <w:b/>
          <w:i w:val="false"/>
          <w:color w:val="000000"/>
          <w:sz w:val="28"/>
        </w:rPr>
        <w:t xml:space="preserve">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продукции одной марки, сопровождаемое одним документом о качестве (паспортом);</w:t>
      </w:r>
    </w:p>
    <w:bookmarkEnd w:id="64"/>
    <w:bookmarkStart w:name="z13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/>
          <w:i w:val="false"/>
          <w:color w:val="000000"/>
          <w:sz w:val="28"/>
        </w:rPr>
        <w:t xml:space="preserve"> безопасности химической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документ установленной формы, содержащий сведения об опасных свойствах химической продукции, сведения об изготовителях (поставщиках, импортерах) такой продукции, меры предупреждения и требования безопасности для обеспечения безопасного обращения химической продукции;</w:t>
      </w:r>
    </w:p>
    <w:bookmarkEnd w:id="65"/>
    <w:bookmarkStart w:name="z13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/>
          <w:i w:val="false"/>
          <w:color w:val="000000"/>
          <w:sz w:val="28"/>
        </w:rPr>
        <w:t xml:space="preserve"> качества продукции (отработанной продукции)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устанавливающий соответствие численных значений показателей качества продукции (отработанной продукции), полученных в результате лабораторных испытаний, требованиям нормативной документации, выдаваемый изготовителем;</w:t>
      </w:r>
    </w:p>
    <w:bookmarkEnd w:id="66"/>
    <w:bookmarkStart w:name="z14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потребитель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физическое или юридическое лицо, имеющее намерение заказать или приобрести, либо заказывающее, приобретающее или использующее продукцию исключительно для собственных нужд;</w:t>
      </w:r>
    </w:p>
    <w:bookmarkEnd w:id="67"/>
    <w:bookmarkStart w:name="z14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продавец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юридическое лицо или индивидуальный предприниматель, являющиеся резидентом государства – члена Таможенного союза, осуществляющие оптовую (розничную) реализацию продукции потребителю (пользователю) и ответственные за обращение на рынке продукции (отработанной продукции), соответствующей требованиям настоящего технического регламента;</w:t>
      </w:r>
    </w:p>
    <w:bookmarkEnd w:id="68"/>
    <w:bookmarkStart w:name="z14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пункт</w:t>
      </w:r>
      <w:r>
        <w:rPr>
          <w:rFonts w:ascii="Times New Roman"/>
          <w:b/>
          <w:i w:val="false"/>
          <w:color w:val="000000"/>
          <w:sz w:val="28"/>
        </w:rPr>
        <w:t xml:space="preserve"> сбора отработанной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инженерно-технический комплекс, предназначенный для приема, хранения, учета, подготовки и отгрузки отработанной продукции;</w:t>
      </w:r>
    </w:p>
    <w:bookmarkEnd w:id="69"/>
    <w:bookmarkStart w:name="z15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сбор</w:t>
      </w:r>
      <w:r>
        <w:rPr>
          <w:rFonts w:ascii="Times New Roman"/>
          <w:b/>
          <w:i w:val="false"/>
          <w:color w:val="000000"/>
          <w:sz w:val="28"/>
        </w:rPr>
        <w:t xml:space="preserve"> отработанной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деятельность, связанная с изъятием отработанной продукции из мест ее образования, для последующей ее переработки (утилизации);</w:t>
      </w:r>
    </w:p>
    <w:bookmarkEnd w:id="70"/>
    <w:bookmarkStart w:name="z15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смазочный</w:t>
      </w:r>
      <w:r>
        <w:rPr>
          <w:rFonts w:ascii="Times New Roman"/>
          <w:b/>
          <w:i w:val="false"/>
          <w:color w:val="000000"/>
          <w:sz w:val="28"/>
        </w:rPr>
        <w:t xml:space="preserve"> материал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вещество нефтяного или синтетического происхождения, облегчающее процесс трения на рабочих поверхностях соприкасающихся деталей, в результате которого уменьшается сила трения и изнашивание поверхности;</w:t>
      </w:r>
    </w:p>
    <w:bookmarkEnd w:id="71"/>
    <w:bookmarkStart w:name="z15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специальная</w:t>
      </w:r>
      <w:r>
        <w:rPr>
          <w:rFonts w:ascii="Times New Roman"/>
          <w:b/>
          <w:i w:val="false"/>
          <w:color w:val="000000"/>
          <w:sz w:val="28"/>
        </w:rPr>
        <w:t xml:space="preserve"> жидкость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жидкость нефтяного или синтетического происхождения, предназначенная для использования в качестве рабочего тела;</w:t>
      </w:r>
    </w:p>
    <w:bookmarkEnd w:id="72"/>
    <w:bookmarkStart w:name="z16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переработка</w:t>
      </w:r>
      <w:r>
        <w:rPr>
          <w:rFonts w:ascii="Times New Roman"/>
          <w:b/>
          <w:i w:val="false"/>
          <w:color w:val="000000"/>
          <w:sz w:val="28"/>
        </w:rPr>
        <w:t xml:space="preserve"> (утилизация) отработанной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процессы завершения жизненного цикла отработанной продукции с целью получения новой продукции.</w:t>
      </w:r>
    </w:p>
    <w:bookmarkEnd w:id="73"/>
    <w:bookmarkStart w:name="z16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. ПРАВИЛА ОБРАЩЕНИЯ ПРОДУКЦИИ НА РЫНКЕ</w:t>
      </w:r>
    </w:p>
    <w:bookmarkEnd w:id="74"/>
    <w:bookmarkStart w:name="z16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Продукция, выпускаемая в обращение на единой таможенной территории Таможенного союза, должна соответствовать требованиям настоящего технического регламента, а также другим техническим регламентам Таможенного союза, действие которых на нее распространяется.</w:t>
      </w:r>
    </w:p>
    <w:bookmarkEnd w:id="75"/>
    <w:bookmarkStart w:name="z16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Допускается выпуск в обращение и обращение продукции, соответствие которой подтверждено требованиям настоящего технического регламента.</w:t>
      </w:r>
    </w:p>
    <w:bookmarkEnd w:id="76"/>
    <w:bookmarkStart w:name="z16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Идентификация смазочных материалов, масел и специальных жидкостей в целях применения настоящего технического регламента проводится по документации. В качестве документации могут быть использованы технические документы, и/или паспорта качества, протоколы испытаний, и/или договоры поставки, и/или спецификации, и/или этикетки, и/или аннотации и другие документы, характеризующие продукцию. Признаками, характеризующими масла, смазочный материал и специальные жидкости, является использование продукции в качестве смазочного материала или специальной жидкости.</w:t>
      </w:r>
    </w:p>
    <w:bookmarkEnd w:id="77"/>
    <w:bookmarkStart w:name="z16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отработанной продукции проводится по признакам:</w:t>
      </w:r>
    </w:p>
    <w:bookmarkEnd w:id="78"/>
    <w:bookmarkStart w:name="z16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предназначена исключительно для переработки (утилизации) с целью получения товарных нефтепродуктов;</w:t>
      </w:r>
    </w:p>
    <w:bookmarkEnd w:id="79"/>
    <w:bookmarkStart w:name="z17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получена в результате использования продукции по прямому назначению;</w:t>
      </w:r>
    </w:p>
    <w:bookmarkEnd w:id="80"/>
    <w:bookmarkStart w:name="z17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используется в качестве исходного сырья для получения товарных нефтепродуктов.</w:t>
      </w:r>
    </w:p>
    <w:bookmarkEnd w:id="81"/>
    <w:bookmarkStart w:name="z17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Каждая партия смазочных материалов, масел и специальныхжидкостей, выпускаемая в обращение и (или) находящаяся в обращении,должна сопровождаться паспортом качества продукции.</w:t>
      </w:r>
    </w:p>
    <w:bookmarkEnd w:id="82"/>
    <w:bookmarkStart w:name="z17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качества должен содержать:</w:t>
      </w:r>
    </w:p>
    <w:bookmarkEnd w:id="83"/>
    <w:bookmarkStart w:name="z17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обозначение марки и назначение продукции;</w:t>
      </w:r>
    </w:p>
    <w:bookmarkEnd w:id="84"/>
    <w:bookmarkStart w:name="z17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изготовителя (уполномоченного изготовителем лица) или импортера, или продавца, его товарный знак (при наличии), местонахождение (с указанием страны), информация для связи с ним;</w:t>
      </w:r>
    </w:p>
    <w:bookmarkEnd w:id="85"/>
    <w:bookmarkStart w:name="z17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значения показателей безопасности продукции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 и фактические результаты испытаний;</w:t>
      </w:r>
    </w:p>
    <w:bookmarkEnd w:id="86"/>
    <w:bookmarkStart w:name="z17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документа, в соответствии с которым производится продукция (при наличии);</w:t>
      </w:r>
    </w:p>
    <w:bookmarkEnd w:id="87"/>
    <w:bookmarkStart w:name="z17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значения показателей продукции, установленные нормативным документом, в соответствии с которым произведена продукция, и фактические результаты испытаний;</w:t>
      </w:r>
    </w:p>
    <w:bookmarkEnd w:id="88"/>
    <w:bookmarkStart w:name="z17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 условия хранения;</w:t>
      </w:r>
    </w:p>
    <w:bookmarkEnd w:id="89"/>
    <w:bookmarkStart w:name="z18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изготовления (месяц, год);</w:t>
      </w:r>
    </w:p>
    <w:bookmarkEnd w:id="90"/>
    <w:bookmarkStart w:name="z18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партии;</w:t>
      </w:r>
    </w:p>
    <w:bookmarkEnd w:id="91"/>
    <w:bookmarkStart w:name="z18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паспорта;</w:t>
      </w:r>
    </w:p>
    <w:bookmarkEnd w:id="92"/>
    <w:bookmarkStart w:name="z18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лица, оформившего паспорт.</w:t>
      </w:r>
    </w:p>
    <w:bookmarkEnd w:id="93"/>
    <w:bookmarkStart w:name="z18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Продукция должна иметь паспорт безопасности химической продукции (далее – паспорт безопасности).</w:t>
      </w:r>
    </w:p>
    <w:bookmarkEnd w:id="94"/>
    <w:bookmarkStart w:name="z18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 Продавец по требованию потребителя обязан предоставить потребителю копию паспорта качества и/или копию паспорта безопасности.</w:t>
      </w:r>
    </w:p>
    <w:bookmarkEnd w:id="95"/>
    <w:bookmarkStart w:name="z18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3.7. Паспорт качества и паспорт безопасности выполняются на русском языке и/или государственном языке государства – члена Таможенного союза, на территории которого данная продукция будет реализовываться.</w:t>
      </w:r>
    </w:p>
    <w:bookmarkEnd w:id="96"/>
    <w:bookmarkStart w:name="z18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3.8. Требования к обращению отработанной продукции.</w:t>
      </w:r>
    </w:p>
    <w:bookmarkEnd w:id="97"/>
    <w:bookmarkStart w:name="z18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3.8.1. Отработанная продукция подлежит сдаче на пункты сбора отработанной продукции для подготовки к последующей переработке(утилизации).</w:t>
      </w:r>
    </w:p>
    <w:bookmarkEnd w:id="98"/>
    <w:bookmarkStart w:name="z18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отработанной продукции осуществляется по маркам или группам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99"/>
    <w:bookmarkStart w:name="z19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3.8.2. Отработанная продукция, поставляемая с пунктов сбора отработанной продукции на переработку (утилизацию), либо подготовленная к самостоятельной переработке (утилизации) организацией-производителем отработанной продукции, должна сопровождаться паспортом качества и соответствовать требованиям, изложенным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 Требования настоящего технического регламента, изложенные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регламенту, на отработанную продукцию, сдаваемую на пункты сбора отработанной продукции, не распространяются.</w:t>
      </w:r>
    </w:p>
    <w:bookmarkEnd w:id="100"/>
    <w:bookmarkStart w:name="z19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3.8.3. При обращении отработанной продукции запрещается:</w:t>
      </w:r>
    </w:p>
    <w:bookmarkEnd w:id="101"/>
    <w:bookmarkStart w:name="z19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сброс (слив) в водоемы, на почву и в канализационные сети общего пользования;</w:t>
      </w:r>
    </w:p>
    <w:bookmarkEnd w:id="102"/>
    <w:bookmarkStart w:name="z19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на полигоны для бытовых и промышленных отходов с последующим захоронением;</w:t>
      </w:r>
    </w:p>
    <w:bookmarkEnd w:id="103"/>
    <w:bookmarkStart w:name="z19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смешение с нефтью (газовым конденсатом), бензином, керосином, топливом (дизельным, судовым, котельно-печным, мазутом) с целью получения топлива, предназначенного для энергетических установок, за исключением случаев, разрешенных компетентными органами государств – членов Таможенного союза в области природопользования и охраны окружающей среды;</w:t>
      </w:r>
    </w:p>
    <w:bookmarkEnd w:id="104"/>
    <w:bookmarkStart w:name="z19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смешение с продукцией, содержащей галогенорганические соединения;</w:t>
      </w:r>
    </w:p>
    <w:bookmarkEnd w:id="105"/>
    <w:bookmarkStart w:name="z19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в качестве антиадгезионных материалов и средств для пропитки строительных материалов.</w:t>
      </w:r>
    </w:p>
    <w:bookmarkEnd w:id="106"/>
    <w:bookmarkStart w:name="z19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3.8.4 Деятельность по сбору и утилизации отработанной продукции осуществляется в соответствии с законодательством государств – членов Таможенного союза.</w:t>
      </w:r>
    </w:p>
    <w:bookmarkEnd w:id="107"/>
    <w:bookmarkStart w:name="z19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. ТРЕБОВАНИЯ БЕЗОПАСНОСТИ</w:t>
      </w:r>
    </w:p>
    <w:bookmarkEnd w:id="108"/>
    <w:bookmarkStart w:name="z20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4.1. Продукция и продукты, полученные в результате переработки (утилизации) отработанной продукции (смазочные материалы, масла и специальные жидкости, полученные в результате переработки (утилизации) отработанной продукции), должны соответствовать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109"/>
    <w:bookmarkStart w:name="z20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Упакованная продукция должна быть маркирована. Маркировка должна содержать:</w:t>
      </w:r>
    </w:p>
    <w:bookmarkEnd w:id="110"/>
    <w:bookmarkStart w:name="z20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местонахождение (юридический адрес, включая страну) изготовителя, его товарный знак (при наличии);</w:t>
      </w:r>
    </w:p>
    <w:bookmarkEnd w:id="111"/>
    <w:bookmarkStart w:name="z20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обозначение марки и назначение продукции;</w:t>
      </w:r>
    </w:p>
    <w:bookmarkEnd w:id="112"/>
    <w:bookmarkStart w:name="z20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документа, в соответствии с которым производится (при наличии);</w:t>
      </w:r>
    </w:p>
    <w:bookmarkEnd w:id="113"/>
    <w:bookmarkStart w:name="z20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и условия хранения;</w:t>
      </w:r>
    </w:p>
    <w:bookmarkEnd w:id="114"/>
    <w:bookmarkStart w:name="z20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изготовления;</w:t>
      </w:r>
    </w:p>
    <w:bookmarkEnd w:id="115"/>
    <w:bookmarkStart w:name="z20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партии;</w:t>
      </w:r>
    </w:p>
    <w:bookmarkEnd w:id="116"/>
    <w:bookmarkStart w:name="z20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штриховой идентификационный код (при необходимости).</w:t>
      </w:r>
    </w:p>
    <w:bookmarkEnd w:id="117"/>
    <w:bookmarkStart w:name="z20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Продукция, способная оказывать вредное воздействие на здоровье человека, окружающую среду, обладающая пожароопасными свойствами, должна иметь соответствующую предупредительную маркировку.</w:t>
      </w:r>
    </w:p>
    <w:bookmarkEnd w:id="118"/>
    <w:bookmarkStart w:name="z21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Маркировка должна быть изложена на официальном и государственном языке государства – члена Таможенного союза, на территории которого данная продукция реализуется потребителю, при наличии соответствующих требований в законодательстве(ах) государства(в) – члена(ов) Таможенного союза, за исключением наименования изготовителя и наименования изделия, а также другого текста, входящего в зарегистрированный товарный знак. Дополнительное использование иностранных языков допускается при условии полной идентичности содержания с текстом.</w:t>
      </w:r>
    </w:p>
    <w:bookmarkEnd w:id="119"/>
    <w:bookmarkStart w:name="z21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Маркировка должна быть четкой и разборчивой, выполнена способом, обеспечивающим ее сохранность к упакованной продукции и воздействиям внешней среды.</w:t>
      </w:r>
    </w:p>
    <w:bookmarkEnd w:id="120"/>
    <w:bookmarkStart w:name="z21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 При поставке неупакованной продукции сведения о ней приводятся в паспорте качества.</w:t>
      </w:r>
    </w:p>
    <w:bookmarkEnd w:id="121"/>
    <w:bookmarkStart w:name="z21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. ОБЕСПЕЧЕНИЕ СООТВЕТСТВИЯ</w:t>
      </w:r>
    </w:p>
    <w:bookmarkEnd w:id="122"/>
    <w:bookmarkStart w:name="z21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Соответствие продукции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bookmarkEnd w:id="123"/>
    <w:bookmarkStart w:name="z21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5.2. Правила и методы исследований (испытаний) и измерений, в том числе правила отбора проб, необходимые для применения и исполнения требований настоящего технического регламента и осуществления оценки (подтверждения) соответствия продукции, устанавливаются в межгосударственных стандартах, а в случае их отсутствия (до принятия межгосударственных стандартов) – национальных (государственных) стандартах государств – членов Таможенного союза. </w:t>
      </w:r>
    </w:p>
    <w:bookmarkEnd w:id="124"/>
    <w:bookmarkStart w:name="z21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. ПОДТВЕРЖДЕНИЕ СООТВЕТСТВИЯ</w:t>
      </w:r>
    </w:p>
    <w:bookmarkEnd w:id="125"/>
    <w:bookmarkStart w:name="z21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Перед выпуском в обращение на рынок продукция должна быть подвергнута процедуре подтверждения соответствия в форме декларирования соответствия. При подтверждении соответствия заявителем может быть юридическое лицо или физическое лицо в качестве индивидуального предпринимателя, являющееся изготовителем (уполномоченным изготовителем лицом), или импортером (продавцом).</w:t>
      </w:r>
    </w:p>
    <w:bookmarkEnd w:id="126"/>
    <w:bookmarkStart w:name="z22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Перед подтверждением соответствия проводится процедура идентификации продукции.</w:t>
      </w:r>
    </w:p>
    <w:bookmarkEnd w:id="127"/>
    <w:bookmarkStart w:name="z22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6.3. Декларирование соответствия продукции требованиям настоящего технического регламента осуществляется по схемам 1Д или 2Д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128"/>
    <w:bookmarkStart w:name="z22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 Испытания в целях декларирования соответствия организовываются изготовителем (уполномоченным изготовителем лицом), импортером (продавцом) в испытательной лаборатории или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союза.</w:t>
      </w:r>
    </w:p>
    <w:bookmarkEnd w:id="129"/>
    <w:bookmarkStart w:name="z22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 При проведении подтверждения соответствия продукции заявитель формирует комплект документов, подтверждающий соответствие данной продукции требованиям безопасности настоящего технического регламента, который включает:</w:t>
      </w:r>
    </w:p>
    <w:bookmarkEnd w:id="130"/>
    <w:bookmarkStart w:name="z22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(при наличии);</w:t>
      </w:r>
    </w:p>
    <w:bookmarkEnd w:id="131"/>
    <w:bookmarkStart w:name="z22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контракт (договор на поставку) и товаросопроводительную документацию (при декларировании соответствия по схеме 2Д);</w:t>
      </w:r>
    </w:p>
    <w:bookmarkEnd w:id="132"/>
    <w:bookmarkStart w:name="z22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на систему менеджмента качества изготовителя (при наличии);</w:t>
      </w:r>
    </w:p>
    <w:bookmarkEnd w:id="133"/>
    <w:bookmarkStart w:name="z22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качества продукции;</w:t>
      </w:r>
    </w:p>
    <w:bookmarkEnd w:id="134"/>
    <w:bookmarkStart w:name="z22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безопасности продукции;</w:t>
      </w:r>
    </w:p>
    <w:bookmarkEnd w:id="135"/>
    <w:bookmarkStart w:name="z22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испытаний, подтверждающие соответствие продукции требованиям безопасности настоящего технического регламента;</w:t>
      </w:r>
    </w:p>
    <w:bookmarkEnd w:id="136"/>
    <w:bookmarkStart w:name="z23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подтверждающего, что заявитель зарегистрирован в установленном порядке в государстве – члене Таможенного союза в качестве юридического лица или индивидуального предпринимателя;</w:t>
      </w:r>
    </w:p>
    <w:bookmarkEnd w:id="137"/>
    <w:bookmarkStart w:name="z23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сертификаты соответствия, выданные, в том числе зарубежными органами по сертификации (при наличии).</w:t>
      </w:r>
    </w:p>
    <w:bookmarkEnd w:id="138"/>
    <w:bookmarkStart w:name="z23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6.6. При декларировании соответствия по схеме 1Д заявитель формирует комплект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6.5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регламента, осуществляет производственный контроль и принимает все необходимые меры для того, чтобы процесс производства обеспечивал соответствие продукции требованиям настоящего технического регламента, проводит испытания образцов, принимает и регистрирует декларацию о соответствии и наносит единый знак обращения продукции на рынке государств – членов Таможенного союза.</w:t>
      </w:r>
    </w:p>
    <w:bookmarkEnd w:id="139"/>
    <w:bookmarkStart w:name="z23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6.7. При декларировании соответствия по схеме 2Д заявитель формирует комплект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6.5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регламента, проводит испытания образцов, принимает и регистрирует декларацию о соответствии и наносит единый знак обращения продукции на рынке государств – членов Таможенного союза.</w:t>
      </w:r>
    </w:p>
    <w:bookmarkEnd w:id="140"/>
    <w:bookmarkStart w:name="z23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6.8. Декларация о соответствии подлежит регистрации в порядке, установленном законодательством Таможенного союза.</w:t>
      </w:r>
    </w:p>
    <w:bookmarkEnd w:id="141"/>
    <w:bookmarkStart w:name="z23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декларации о соответствии начинается с даты ее регистрации:</w:t>
      </w:r>
    </w:p>
    <w:bookmarkEnd w:id="142"/>
    <w:bookmarkStart w:name="z23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серийно выпускаемой продукции – не более трех лет; для партии продукции – на срок хранения продукции.</w:t>
      </w:r>
    </w:p>
    <w:bookmarkEnd w:id="143"/>
    <w:bookmarkStart w:name="z23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6.9. Комплект документов на продукцию, включая декларацию о соответствии, должен храниться на территории государств – членов Таможенного союза:</w:t>
      </w:r>
    </w:p>
    <w:bookmarkEnd w:id="144"/>
    <w:bookmarkStart w:name="z23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продукцию, выпускаемую серийно – у изготовителя (уполномоченного лица) в течение не менее десяти лет со дня снятия (прекращения) с производства продукции;</w:t>
      </w:r>
    </w:p>
    <w:bookmarkEnd w:id="145"/>
    <w:bookmarkStart w:name="z23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партию продукции – у импортера (продавца), изготовителя (уполномоченного лица) в течение не менее десяти лет с даты регистрации декларации о соответствии.</w:t>
      </w:r>
    </w:p>
    <w:bookmarkEnd w:id="146"/>
    <w:bookmarkStart w:name="z24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МАРКИРОВКА ЕДИНЫМ ЗНАКОМ ОБРАЩЕНИЯ ПРОДУКЦИИ НА РЫНКЕ ГОСУДАРСТВ – ЧЛЕНОВ ТАМОЖЕННОГО СОЮЗА</w:t>
      </w:r>
    </w:p>
    <w:bookmarkEnd w:id="147"/>
    <w:bookmarkStart w:name="z24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7.1. Смазочные материалы, масла и специальные жидкости, соответствующие требованиям настоящего технического регламента и прошедшие процедуры подтверждения соответствия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регламента, должны иметь маркировку единым знаком обращения продукции на рынке государств – членов Таможенного союза.</w:t>
      </w:r>
    </w:p>
    <w:bookmarkEnd w:id="148"/>
    <w:bookmarkStart w:name="z24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Маркировка единым знаком обращения продукции на рынке государств – членов Таможенного союза осуществляется перед выпуском смазочных материалов, масел и специальных жидкостей в обращение на рынке.</w:t>
      </w:r>
    </w:p>
    <w:bookmarkEnd w:id="149"/>
    <w:bookmarkStart w:name="z24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Смазочные материалы, масла и специальные жидкости маркируются единым знаком обращения продукции на рынке государств – членов Таможенного союза при их соответствии требованиям всех технических регламентов Таможенного союза, действие которых на них распространяется и предусматривающих нанесение данного знака.</w:t>
      </w:r>
    </w:p>
    <w:bookmarkEnd w:id="150"/>
    <w:bookmarkStart w:name="z24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Единый знак обращения продукции на рынке государств – членов Таможенного союза наносится на каждую единицу упаковки, а также приводится в паспорте качества.</w:t>
      </w:r>
    </w:p>
    <w:bookmarkEnd w:id="151"/>
    <w:bookmarkStart w:name="z24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. ЗАЩИТИТЕЛЬНАЯ ОГОВОРКА</w:t>
      </w:r>
    </w:p>
    <w:bookmarkEnd w:id="152"/>
    <w:bookmarkStart w:name="z25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Ответственность за несоблюдение требований настоящего технического регламента, а также за нарушение процедур проведения подтверждения соответствия продукции требованиям настоящего технического регламента устанавливается законодательством каждой Стороны. При обнаружении продукции, не соответствующей требованиям настоящего технического регламента или подлежащей подтверждению соответствия установленным к ней обязательным требованиям и поступающей или находящейся в обращении без документа о подтверждении соответствия и (или) без маркировки единым знаком обращения продукции на рынке государств – членов Таможенного союза, уполномоченные органы каждой Стороны принимают меры по недопущению выпуска данной продукции в обращение, по изъятию ее из обращения в соответствии с законодательством Стороны, а также по информированию об этом других Сторон.</w:t>
      </w:r>
    </w:p>
    <w:bookmarkEnd w:id="153"/>
    <w:bookmarkStart w:name="z25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Государственный контроль (надзор) за соблюдением требований настоящего технического регламента проводится в порядке, установленном законодательством государств – членов Таможенного союза.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требованиях к смазочным материалам, маслам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жидкостям" (ТР ТС 030/2012)</w:t>
            </w:r>
          </w:p>
        </w:tc>
      </w:tr>
    </w:tbl>
    <w:bookmarkStart w:name="z25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характеристикам продукции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с изменением, внесенным решением Совета Евразийской экономической комиссии от 03.03.2017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3"/>
        <w:gridCol w:w="670"/>
        <w:gridCol w:w="2474"/>
        <w:gridCol w:w="2733"/>
      </w:tblGrid>
      <w:tr>
        <w:trPr>
          <w:trHeight w:val="30" w:hRule="atLeast"/>
        </w:trPr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Пластичные смазки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жидкости</w:t>
            </w:r>
          </w:p>
        </w:tc>
      </w:tr>
      <w:tr>
        <w:trPr>
          <w:trHeight w:val="30" w:hRule="atLeast"/>
        </w:trPr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самовоспламенения***,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определяется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165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определяется</w:t>
            </w:r>
          </w:p>
        </w:tc>
      </w:tr>
      <w:tr>
        <w:trPr>
          <w:trHeight w:val="30" w:hRule="atLeast"/>
        </w:trPr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вспышки в открытом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тигле,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определяется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определяется</w:t>
            </w:r>
          </w:p>
        </w:tc>
      </w:tr>
      <w:tr>
        <w:trPr>
          <w:trHeight w:val="30" w:hRule="atLeast"/>
        </w:trPr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селективных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растворителей*, %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определяется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определяется</w:t>
            </w:r>
          </w:p>
        </w:tc>
      </w:tr>
      <w:tr>
        <w:trPr>
          <w:trHeight w:val="30" w:hRule="atLeast"/>
        </w:trPr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кипения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давлении 101,3 кПа (760 мм. рт.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ст.),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охлаждающих жидкостей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тормозных жидкостей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определяется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определяется 115</w:t>
            </w:r>
          </w:p>
        </w:tc>
      </w:tr>
      <w:tr>
        <w:trPr>
          <w:trHeight w:val="30" w:hRule="atLeast"/>
        </w:trPr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кристаллизации,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не выше: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охлаждающих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низкозамерзающих жидкостей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определяется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35</w:t>
            </w:r>
          </w:p>
        </w:tc>
      </w:tr>
      <w:tr>
        <w:trPr>
          <w:trHeight w:val="30" w:hRule="atLeast"/>
        </w:trPr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воды*, % масс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"Следы"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определяется</w:t>
            </w:r>
          </w:p>
        </w:tc>
      </w:tr>
      <w:tr>
        <w:trPr>
          <w:trHeight w:val="30" w:hRule="atLeast"/>
        </w:trPr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механических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примесей, % масс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0,03</w:t>
            </w:r>
          </w:p>
        </w:tc>
      </w:tr>
      <w:tr>
        <w:trPr>
          <w:trHeight w:val="30" w:hRule="atLeast"/>
        </w:trPr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полихлордифенилов**,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определяется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определяется</w:t>
            </w:r>
          </w:p>
        </w:tc>
      </w:tr>
      <w:tr>
        <w:trPr>
          <w:trHeight w:val="30" w:hRule="atLeast"/>
        </w:trPr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Водородный показатель (рН)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определяется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определяется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10</w:t>
            </w:r>
          </w:p>
        </w:tc>
      </w:tr>
      <w:tr>
        <w:trPr>
          <w:trHeight w:val="30" w:hRule="atLeast"/>
        </w:trPr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метилового спирта, % масс., - для охлаждающих жидкостей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определяется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определяется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*- для масел без присадок;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- для трансформаторных и кабельных масел;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 - при декларировании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требованиях к смазочным материалам, маслам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жидкостям" (ТР ТС 030/2012)</w:t>
            </w:r>
          </w:p>
        </w:tc>
      </w:tr>
    </w:tbl>
    <w:bookmarkStart w:name="z26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отработанной продукции</w:t>
      </w:r>
      <w:r>
        <w:br/>
      </w:r>
      <w:r>
        <w:rPr>
          <w:rFonts w:ascii="Times New Roman"/>
          <w:b/>
          <w:i w:val="false"/>
          <w:color w:val="000000"/>
        </w:rPr>
        <w:t>(отработанных смазочных материалов, масел) по группам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0927"/>
      </w:tblGrid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ММО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моторные отработанные: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универсальные, карбюраторные, дизельные,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авиационных поршневых двигателей.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индустриальные отработанные: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трансмиссионные;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индустриальные;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газотурбинные и турбинные;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трансформаторные;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компрессорные;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гидравлические;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антикоррозионные;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электроизоляционные.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нефтепродуктов отработанных: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нефтяные промывочные жидкости;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масла, применявшиеся при термической обработке металлов;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трансмиссионные, осевые, обкаточные, цилиндровые;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масла, извлекаемые из нефтяных эмульсий;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нефтепродуктов, собранные при зачистке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транспортирования, извлекаемые из очистных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нефтесодержащих вод.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жидкости: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охлаждающие жидкости (в том числе смазочно-охлаждающие жидкости);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тормозные жидкости.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требованиях к смазочным материалам, маслам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жидкостям" (ТР ТС 030/2012)</w:t>
            </w:r>
          </w:p>
        </w:tc>
      </w:tr>
    </w:tbl>
    <w:bookmarkStart w:name="z267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физико-химическим показателям качества</w:t>
      </w:r>
      <w:r>
        <w:br/>
      </w:r>
      <w:r>
        <w:rPr>
          <w:rFonts w:ascii="Times New Roman"/>
          <w:b/>
          <w:i w:val="false"/>
          <w:color w:val="000000"/>
        </w:rPr>
        <w:t>отработанной продукции (смазочным материалам, маслам) при их</w:t>
      </w:r>
      <w:r>
        <w:br/>
      </w:r>
      <w:r>
        <w:rPr>
          <w:rFonts w:ascii="Times New Roman"/>
          <w:b/>
          <w:i w:val="false"/>
          <w:color w:val="000000"/>
        </w:rPr>
        <w:t>сборе, хранении (накоплении) и сдаче-приеме на переработку</w:t>
      </w:r>
      <w:r>
        <w:br/>
      </w:r>
      <w:r>
        <w:rPr>
          <w:rFonts w:ascii="Times New Roman"/>
          <w:b/>
          <w:i w:val="false"/>
          <w:color w:val="000000"/>
        </w:rPr>
        <w:t>(утилизацию)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1"/>
        <w:gridCol w:w="2214"/>
        <w:gridCol w:w="3674"/>
        <w:gridCol w:w="1051"/>
      </w:tblGrid>
      <w:tr>
        <w:trPr>
          <w:trHeight w:val="30" w:hRule="atLeast"/>
        </w:trPr>
        <w:tc>
          <w:tcPr>
            <w:tcW w:w="5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для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ММО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</w:t>
            </w:r>
          </w:p>
        </w:tc>
      </w:tr>
      <w:tr>
        <w:trPr>
          <w:trHeight w:val="30" w:hRule="atLeast"/>
        </w:trPr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Кинематическая вязкость при 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мм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(сСт)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35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35*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Температура вспышки, определяемая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открытом тигле,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не ниже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Массовая доля механических примесей, %,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Массовая доля воды, %, не более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Содержание загрязнений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Показатель может быть больше для отдельных марок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требованиях к смазочным материалам, маслам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жидкостям" (ТР ТС 030/2012)</w:t>
            </w:r>
          </w:p>
        </w:tc>
      </w:tr>
    </w:tbl>
    <w:bookmarkStart w:name="z27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декларирования соответствия продукции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1578"/>
        <w:gridCol w:w="1777"/>
        <w:gridCol w:w="1778"/>
        <w:gridCol w:w="2794"/>
        <w:gridCol w:w="2187"/>
      </w:tblGrid>
      <w:tr>
        <w:trPr>
          <w:trHeight w:val="30" w:hRule="atLeast"/>
        </w:trPr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схемы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схемы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продукцию,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партии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(импортер)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партию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