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4828" w14:textId="3f64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силиконовых смол, полимеров этилена, отдельных видов органических химических соединений, рыбы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Совета Евразийской экономической комиссии от 12 октября 2012 года № 89. Утратило силу решением Совета Евразийской экономической комиссии от 14 сентября 2021 года № 80</w:t>
      </w:r>
    </w:p>
    <w:p>
      <w:pPr>
        <w:spacing w:after="0"/>
        <w:ind w:left="0"/>
        <w:jc w:val="both"/>
      </w:pPr>
      <w:r>
        <w:rPr>
          <w:rFonts w:ascii="Times New Roman"/>
          <w:b w:val="false"/>
          <w:i w:val="false"/>
          <w:color w:val="ff0000"/>
          <w:sz w:val="28"/>
        </w:rPr>
        <w:t xml:space="preserve">
      Сноска. Утратило силу решением Совета Евразийской экономической комиссии от 14.09.2021 </w:t>
      </w:r>
      <w:r>
        <w:rPr>
          <w:rFonts w:ascii="Times New Roman"/>
          <w:b w:val="false"/>
          <w:i w:val="false"/>
          <w:color w:val="ff0000"/>
          <w:sz w:val="28"/>
        </w:rPr>
        <w:t>№ 80</w:t>
      </w:r>
      <w:r>
        <w:rPr>
          <w:rFonts w:ascii="Times New Roman"/>
          <w:b w:val="false"/>
          <w:i w:val="false"/>
          <w:color w:val="ff0000"/>
          <w:sz w:val="28"/>
        </w:rPr>
        <w:t xml:space="preserve"> (вводится в действие с 01.01.2022).</w:t>
      </w:r>
    </w:p>
    <w:bookmarkStart w:name="z1" w:id="0"/>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Внести в единую Товарную номенклатуру внешнеэкономической деятельности Таможенного союза и Единый таможенный тариф Таможенного союза (</w:t>
      </w:r>
      <w:r>
        <w:rPr>
          <w:rFonts w:ascii="Times New Roman"/>
          <w:b w:val="false"/>
          <w:i w:val="false"/>
          <w:color w:val="000000"/>
          <w:sz w:val="28"/>
        </w:rPr>
        <w:t>приложение</w:t>
      </w:r>
      <w:r>
        <w:rPr>
          <w:rFonts w:ascii="Times New Roman"/>
          <w:b w:val="false"/>
          <w:i w:val="false"/>
          <w:color w:val="000000"/>
          <w:sz w:val="28"/>
        </w:rPr>
        <w:t xml:space="preserve"> к Решению Совета Евразийской экономической комиссии от 16 июля 2012 г. № 54) следующие изменения:</w:t>
      </w:r>
    </w:p>
    <w:bookmarkEnd w:id="1"/>
    <w:bookmarkStart w:name="z3" w:id="2"/>
    <w:p>
      <w:pPr>
        <w:spacing w:after="0"/>
        <w:ind w:left="0"/>
        <w:jc w:val="both"/>
      </w:pPr>
      <w:r>
        <w:rPr>
          <w:rFonts w:ascii="Times New Roman"/>
          <w:b w:val="false"/>
          <w:i w:val="false"/>
          <w:color w:val="000000"/>
          <w:sz w:val="28"/>
        </w:rPr>
        <w:t xml:space="preserve">
      а) исключить из единой Товарной номенклатуры внешнеэкономической деятельности Таможенного союза подсубпозицию согласно </w:t>
      </w:r>
      <w:r>
        <w:rPr>
          <w:rFonts w:ascii="Times New Roman"/>
          <w:b w:val="false"/>
          <w:i w:val="false"/>
          <w:color w:val="000000"/>
          <w:sz w:val="28"/>
        </w:rPr>
        <w:t>приложению № 1</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 включить в единую Товарную номенклатуру внешнеэкономической деятельности Таможенного союза подсубпозиции согласно </w:t>
      </w:r>
      <w:r>
        <w:rPr>
          <w:rFonts w:ascii="Times New Roman"/>
          <w:b w:val="false"/>
          <w:i w:val="false"/>
          <w:color w:val="000000"/>
          <w:sz w:val="28"/>
        </w:rPr>
        <w:t>приложению № 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в) установить ставки ввозных таможенных пошлин Единого таможенного тарифа Таможенного союза согласно </w:t>
      </w:r>
      <w:r>
        <w:rPr>
          <w:rFonts w:ascii="Times New Roman"/>
          <w:b w:val="false"/>
          <w:i w:val="false"/>
          <w:color w:val="000000"/>
          <w:sz w:val="28"/>
        </w:rPr>
        <w:t>приложению № 3</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г) дополнить примечания к Единому таможенному тарифу Таможенного союза примечанием 14С) следующего содержания:</w:t>
      </w:r>
    </w:p>
    <w:bookmarkEnd w:id="5"/>
    <w:p>
      <w:pPr>
        <w:spacing w:after="0"/>
        <w:ind w:left="0"/>
        <w:jc w:val="both"/>
      </w:pPr>
      <w:r>
        <w:rPr>
          <w:rFonts w:ascii="Times New Roman"/>
          <w:b w:val="false"/>
          <w:i w:val="false"/>
          <w:color w:val="000000"/>
          <w:sz w:val="28"/>
        </w:rPr>
        <w:t>
      "14С) Ставка ввозной таможенной пошлины в размере 5 % от таможенной стоимости применяется с 01.01.2013 по 31.12.2013 включительно.".</w:t>
      </w:r>
    </w:p>
    <w:bookmarkStart w:name="z7" w:id="6"/>
    <w:p>
      <w:pPr>
        <w:spacing w:after="0"/>
        <w:ind w:left="0"/>
        <w:jc w:val="both"/>
      </w:pPr>
      <w:r>
        <w:rPr>
          <w:rFonts w:ascii="Times New Roman"/>
          <w:b w:val="false"/>
          <w:i w:val="false"/>
          <w:color w:val="000000"/>
          <w:sz w:val="28"/>
        </w:rPr>
        <w:t>
      2. Установить ставку ввозной таможенной пошлины в размере 5 % от таможенной стоимости в отношении товаров, классифицируемых в подсубпозициях 0302 51 100 0, 0302 51 900 0, 0302 52 000 0 единой Товарной номенклатуры внешнеэкономической деятельности Таможенного союза, с 01.01.2013 по 31.12.2013 включительно.</w:t>
      </w:r>
    </w:p>
    <w:bookmarkEnd w:id="6"/>
    <w:bookmarkStart w:name="z8" w:id="7"/>
    <w:p>
      <w:pPr>
        <w:spacing w:after="0"/>
        <w:ind w:left="0"/>
        <w:jc w:val="both"/>
      </w:pPr>
      <w:r>
        <w:rPr>
          <w:rFonts w:ascii="Times New Roman"/>
          <w:b w:val="false"/>
          <w:i w:val="false"/>
          <w:color w:val="000000"/>
          <w:sz w:val="28"/>
        </w:rPr>
        <w:t xml:space="preserve">
      3. Поручить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w:t>
      </w:r>
      <w:r>
        <w:rPr>
          <w:rFonts w:ascii="Times New Roman"/>
          <w:b w:val="false"/>
          <w:i w:val="false"/>
          <w:color w:val="000000"/>
          <w:sz w:val="28"/>
        </w:rPr>
        <w:t>Перечень</w:t>
      </w:r>
      <w:r>
        <w:rPr>
          <w:rFonts w:ascii="Times New Roman"/>
          <w:b w:val="false"/>
          <w:i w:val="false"/>
          <w:color w:val="000000"/>
          <w:sz w:val="28"/>
        </w:rPr>
        <w:t xml:space="preserve"> чувствительных товаров, в отношении которых решение об изменении ставки ввозной таможенной пошлины Комиссия Таможенного союза принимает консенсусом, утвержденный Решением Межгосударственного Совета Евразийского экономического сообщества (Высшего органа Таможенного союза) на уровне глав государств от 27 ноября 2009 г. № 18 (далее – Перечень).</w:t>
      </w:r>
    </w:p>
    <w:bookmarkEnd w:id="7"/>
    <w:bookmarkStart w:name="z9" w:id="8"/>
    <w:p>
      <w:pPr>
        <w:spacing w:after="0"/>
        <w:ind w:left="0"/>
        <w:jc w:val="both"/>
      </w:pPr>
      <w:r>
        <w:rPr>
          <w:rFonts w:ascii="Times New Roman"/>
          <w:b w:val="false"/>
          <w:i w:val="false"/>
          <w:color w:val="000000"/>
          <w:sz w:val="28"/>
        </w:rPr>
        <w:t>
      До внесения указанных изменений в Перечень решения по изменению ставок ввозных таможенных пошлин в отношении товаров, классифицируемых в подсубпозициях 3910 00 000 2 и 3910 00 000 8 единой Товарной номенклатуры внешнеэкономической деятельности Таможенного союза, принимаются Советом Евразийской экономической комиссии.</w:t>
      </w:r>
    </w:p>
    <w:bookmarkEnd w:id="8"/>
    <w:bookmarkStart w:name="z10" w:id="9"/>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 </w:t>
            </w:r>
            <w:r>
              <w:rPr>
                <w:rFonts w:ascii="Times New Roman"/>
                <w:b w:val="false"/>
                <w:i/>
                <w:color w:val="000000"/>
                <w:sz w:val="20"/>
              </w:rPr>
              <w:t>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октября 2012 г. № 89</w:t>
            </w:r>
          </w:p>
        </w:tc>
      </w:tr>
    </w:tbl>
    <w:bookmarkStart w:name="z12" w:id="10"/>
    <w:p>
      <w:pPr>
        <w:spacing w:after="0"/>
        <w:ind w:left="0"/>
        <w:jc w:val="left"/>
      </w:pPr>
      <w:r>
        <w:rPr>
          <w:rFonts w:ascii="Times New Roman"/>
          <w:b/>
          <w:i w:val="false"/>
          <w:color w:val="000000"/>
        </w:rPr>
        <w:t xml:space="preserve"> ПОДСУБПОЗИЦИЯ,</w:t>
      </w:r>
      <w:r>
        <w:br/>
      </w:r>
      <w:r>
        <w:rPr>
          <w:rFonts w:ascii="Times New Roman"/>
          <w:b/>
          <w:i w:val="false"/>
          <w:color w:val="000000"/>
        </w:rPr>
        <w:t>исключаемая из единой Товарной номенклатуры внешнеэкономической</w:t>
      </w:r>
      <w:r>
        <w:br/>
      </w:r>
      <w:r>
        <w:rPr>
          <w:rFonts w:ascii="Times New Roman"/>
          <w:b/>
          <w:i w:val="false"/>
          <w:color w:val="000000"/>
        </w:rPr>
        <w:t>деятельности Таможенного союза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ед. 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октября 2012 г. № 89</w:t>
            </w:r>
          </w:p>
        </w:tc>
      </w:tr>
    </w:tbl>
    <w:bookmarkStart w:name="z14" w:id="11"/>
    <w:p>
      <w:pPr>
        <w:spacing w:after="0"/>
        <w:ind w:left="0"/>
        <w:jc w:val="left"/>
      </w:pPr>
      <w:r>
        <w:rPr>
          <w:rFonts w:ascii="Times New Roman"/>
          <w:b/>
          <w:i w:val="false"/>
          <w:color w:val="000000"/>
        </w:rPr>
        <w:t xml:space="preserve"> ПОДСУБПОЗИЦИИ,</w:t>
      </w:r>
      <w:r>
        <w:br/>
      </w:r>
      <w:r>
        <w:rPr>
          <w:rFonts w:ascii="Times New Roman"/>
          <w:b/>
          <w:i w:val="false"/>
          <w:color w:val="000000"/>
        </w:rPr>
        <w:t>включаемые в единую Товарную номенклатуру</w:t>
      </w:r>
      <w:r>
        <w:br/>
      </w:r>
      <w:r>
        <w:rPr>
          <w:rFonts w:ascii="Times New Roman"/>
          <w:b/>
          <w:i w:val="false"/>
          <w:color w:val="000000"/>
        </w:rPr>
        <w:t>внешнеэкономической деятельности Таможенного союза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3910 00 000 2</w:t>
            </w:r>
          </w:p>
          <w:p>
            <w:pPr>
              <w:spacing w:after="20"/>
              <w:ind w:left="20"/>
              <w:jc w:val="both"/>
            </w:pPr>
            <w:r>
              <w:rPr>
                <w:rFonts w:ascii="Times New Roman"/>
                <w:b w:val="false"/>
                <w:i w:val="false"/>
                <w:color w:val="000000"/>
                <w:sz w:val="20"/>
              </w:rPr>
              <w:t>
3910 00 000 8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силиконовые смолы</w:t>
            </w:r>
          </w:p>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Бескодовая подсубпозиция после подсубпозиции 3910 00 000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октября 2012 г. № 89</w:t>
            </w:r>
          </w:p>
        </w:tc>
      </w:tr>
    </w:tbl>
    <w:bookmarkStart w:name="z16" w:id="12"/>
    <w:p>
      <w:pPr>
        <w:spacing w:after="0"/>
        <w:ind w:left="0"/>
        <w:jc w:val="left"/>
      </w:pPr>
      <w:r>
        <w:rPr>
          <w:rFonts w:ascii="Times New Roman"/>
          <w:b/>
          <w:i w:val="false"/>
          <w:color w:val="000000"/>
        </w:rPr>
        <w:t xml:space="preserve"> СТАВКИ</w:t>
      </w:r>
      <w:r>
        <w:br/>
      </w:r>
      <w:r>
        <w:rPr>
          <w:rFonts w:ascii="Times New Roman"/>
          <w:b/>
          <w:i w:val="false"/>
          <w:color w:val="000000"/>
        </w:rPr>
        <w:t>ввозных таможенных пошлин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w:t>
            </w:r>
          </w:p>
          <w:p>
            <w:pPr>
              <w:spacing w:after="20"/>
              <w:ind w:left="20"/>
              <w:jc w:val="both"/>
            </w:pPr>
            <w:r>
              <w:rPr>
                <w:rFonts w:ascii="Times New Roman"/>
                <w:b w:val="false"/>
                <w:i w:val="false"/>
                <w:color w:val="000000"/>
                <w:sz w:val="20"/>
              </w:rPr>
              <w:t>
таможенной</w:t>
            </w:r>
          </w:p>
          <w:p>
            <w:pPr>
              <w:spacing w:after="20"/>
              <w:ind w:left="20"/>
              <w:jc w:val="both"/>
            </w:pPr>
            <w:r>
              <w:rPr>
                <w:rFonts w:ascii="Times New Roman"/>
                <w:b w:val="false"/>
                <w:i w:val="false"/>
                <w:color w:val="000000"/>
                <w:sz w:val="20"/>
              </w:rPr>
              <w:t>
пошлины</w:t>
            </w:r>
          </w:p>
          <w:p>
            <w:pPr>
              <w:spacing w:after="20"/>
              <w:ind w:left="20"/>
              <w:jc w:val="both"/>
            </w:pPr>
            <w:r>
              <w:rPr>
                <w:rFonts w:ascii="Times New Roman"/>
                <w:b w:val="false"/>
                <w:i w:val="false"/>
                <w:color w:val="000000"/>
                <w:sz w:val="20"/>
              </w:rPr>
              <w:t>
(в процентах от</w:t>
            </w:r>
          </w:p>
          <w:p>
            <w:pPr>
              <w:spacing w:after="20"/>
              <w:ind w:left="20"/>
              <w:jc w:val="both"/>
            </w:pPr>
            <w:r>
              <w:rPr>
                <w:rFonts w:ascii="Times New Roman"/>
                <w:b w:val="false"/>
                <w:i w:val="false"/>
                <w:color w:val="000000"/>
                <w:sz w:val="20"/>
              </w:rPr>
              <w:t>
таможенной</w:t>
            </w:r>
          </w:p>
          <w:p>
            <w:pPr>
              <w:spacing w:after="20"/>
              <w:ind w:left="20"/>
              <w:jc w:val="both"/>
            </w:pPr>
            <w:r>
              <w:rPr>
                <w:rFonts w:ascii="Times New Roman"/>
                <w:b w:val="false"/>
                <w:i w:val="false"/>
                <w:color w:val="000000"/>
                <w:sz w:val="20"/>
              </w:rPr>
              <w:t>
стоимости либо</w:t>
            </w:r>
          </w:p>
          <w:p>
            <w:pPr>
              <w:spacing w:after="20"/>
              <w:ind w:left="20"/>
              <w:jc w:val="both"/>
            </w:pPr>
            <w:r>
              <w:rPr>
                <w:rFonts w:ascii="Times New Roman"/>
                <w:b w:val="false"/>
                <w:i w:val="false"/>
                <w:color w:val="000000"/>
                <w:sz w:val="20"/>
              </w:rPr>
              <w:t>
в евро, либо в</w:t>
            </w:r>
          </w:p>
          <w:p>
            <w:pPr>
              <w:spacing w:after="20"/>
              <w:ind w:left="20"/>
              <w:jc w:val="both"/>
            </w:pPr>
            <w:r>
              <w:rPr>
                <w:rFonts w:ascii="Times New Roman"/>
                <w:b w:val="false"/>
                <w:i w:val="false"/>
                <w:color w:val="000000"/>
                <w:sz w:val="20"/>
              </w:rPr>
              <w:t>
долларах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10</w:t>
            </w:r>
            <w:r>
              <w:rPr>
                <w:rFonts w:ascii="Times New Roman"/>
                <w:b w:val="false"/>
                <w:i w:val="false"/>
                <w:color w:val="000000"/>
                <w:vertAlign w:val="superscript"/>
              </w:rPr>
              <w:t>14С)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10</w:t>
            </w:r>
            <w:r>
              <w:rPr>
                <w:rFonts w:ascii="Times New Roman"/>
                <w:b w:val="false"/>
                <w:i w:val="false"/>
                <w:color w:val="000000"/>
                <w:vertAlign w:val="superscript"/>
              </w:rPr>
              <w:t>14С)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-пикша </w:t>
            </w:r>
            <w:r>
              <w:rPr>
                <w:rFonts w:ascii="Times New Roman"/>
                <w:b w:val="false"/>
                <w:i/>
                <w:color w:val="000000"/>
                <w:sz w:val="20"/>
              </w:rPr>
              <w:t>(</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aeglefmus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14С)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сайда </w:t>
            </w:r>
            <w:r>
              <w:rPr>
                <w:rFonts w:ascii="Times New Roman"/>
                <w:b w:val="false"/>
                <w:i/>
                <w:color w:val="000000"/>
                <w:sz w:val="20"/>
              </w:rPr>
              <w:t>(</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мойва </w:t>
            </w:r>
            <w:r>
              <w:rPr>
                <w:rFonts w:ascii="Times New Roman"/>
                <w:b w:val="false"/>
                <w:i/>
                <w:color w:val="000000"/>
                <w:sz w:val="20"/>
              </w:rPr>
              <w:t>(</w:t>
            </w:r>
            <w:r>
              <w:rPr>
                <w:rFonts w:ascii="Times New Roman"/>
                <w:b w:val="false"/>
                <w:i/>
                <w:color w:val="000000"/>
                <w:sz w:val="20"/>
              </w:rPr>
              <w:t>Mallotus</w:t>
            </w:r>
            <w:r>
              <w:rPr>
                <w:rFonts w:ascii="Times New Roman"/>
                <w:b w:val="false"/>
                <w:i w:val="false"/>
                <w:color w:val="000000"/>
                <w:sz w:val="20"/>
              </w:rPr>
              <w:t xml:space="preserve"> </w:t>
            </w:r>
            <w:r>
              <w:rPr>
                <w:rFonts w:ascii="Times New Roman"/>
                <w:b w:val="false"/>
                <w:i/>
                <w:color w:val="000000"/>
                <w:sz w:val="20"/>
              </w:rPr>
              <w:t>villosus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бензойная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- 2,6-диметоксибензойная кислота;</w:t>
            </w:r>
          </w:p>
          <w:p>
            <w:pPr>
              <w:spacing w:after="20"/>
              <w:ind w:left="20"/>
              <w:jc w:val="both"/>
            </w:pPr>
            <w:r>
              <w:rPr>
                <w:rFonts w:ascii="Times New Roman"/>
                <w:b w:val="false"/>
                <w:i w:val="false"/>
                <w:color w:val="000000"/>
                <w:sz w:val="20"/>
              </w:rPr>
              <w:t>
дикамба (ISO); феноксиацетат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- 3,6-дихлорпиридин-2-карбоновая</w:t>
            </w:r>
          </w:p>
          <w:p>
            <w:pPr>
              <w:spacing w:after="20"/>
              <w:ind w:left="20"/>
              <w:jc w:val="both"/>
            </w:pPr>
            <w:r>
              <w:rPr>
                <w:rFonts w:ascii="Times New Roman"/>
                <w:b w:val="false"/>
                <w:i w:val="false"/>
                <w:color w:val="000000"/>
                <w:sz w:val="20"/>
              </w:rPr>
              <w:t>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 производные</w:t>
            </w:r>
          </w:p>
          <w:p>
            <w:pPr>
              <w:spacing w:after="20"/>
              <w:ind w:left="20"/>
              <w:jc w:val="both"/>
            </w:pPr>
            <w:r>
              <w:rPr>
                <w:rFonts w:ascii="Times New Roman"/>
                <w:b w:val="false"/>
                <w:i w:val="false"/>
                <w:color w:val="000000"/>
                <w:sz w:val="20"/>
              </w:rPr>
              <w:t>
хинолина; производные хинолинкарбоновой</w:t>
            </w:r>
          </w:p>
          <w:p>
            <w:pPr>
              <w:spacing w:after="20"/>
              <w:ind w:left="20"/>
              <w:jc w:val="both"/>
            </w:pPr>
            <w:r>
              <w:rPr>
                <w:rFonts w:ascii="Times New Roman"/>
                <w:b w:val="false"/>
                <w:i w:val="false"/>
                <w:color w:val="000000"/>
                <w:sz w:val="20"/>
              </w:rPr>
              <w:t>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диазинон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силиконовые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