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da9e" w14:textId="85cd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расчета и порядке наложения штрафов за нарушение общих правил конкуренции на трансграничных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17 декабря 2012 года № 118.</w:t>
      </w:r>
    </w:p>
    <w:p>
      <w:pPr>
        <w:spacing w:after="0"/>
        <w:ind w:left="0"/>
        <w:jc w:val="both"/>
      </w:pPr>
      <w:r>
        <w:rPr>
          <w:rFonts w:ascii="Times New Roman"/>
          <w:b w:val="false"/>
          <w:i w:val="false"/>
          <w:color w:val="ff0000"/>
          <w:sz w:val="28"/>
        </w:rPr>
        <w:t xml:space="preserve">
      Сноска. Наименование решения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расчета и порядок наложения штрафов за нарушение общих правил конкуренции на трансграничных рынках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декабря 2012 г. № 118</w:t>
            </w:r>
          </w:p>
        </w:tc>
      </w:tr>
    </w:tbl>
    <w:bookmarkStart w:name="z4" w:id="3"/>
    <w:p>
      <w:pPr>
        <w:spacing w:after="0"/>
        <w:ind w:left="0"/>
        <w:jc w:val="left"/>
      </w:pPr>
      <w:r>
        <w:rPr>
          <w:rFonts w:ascii="Times New Roman"/>
          <w:b/>
          <w:i w:val="false"/>
          <w:color w:val="000000"/>
        </w:rPr>
        <w:t xml:space="preserve"> Методика расчета и порядок наложения штрафов за нарушение общих правил конкуренции на трансграничных рынках</w:t>
      </w:r>
    </w:p>
    <w:bookmarkEnd w:id="3"/>
    <w:p>
      <w:pPr>
        <w:spacing w:after="0"/>
        <w:ind w:left="0"/>
        <w:jc w:val="both"/>
      </w:pPr>
      <w:r>
        <w:rPr>
          <w:rFonts w:ascii="Times New Roman"/>
          <w:b w:val="false"/>
          <w:i w:val="false"/>
          <w:color w:val="ff0000"/>
          <w:sz w:val="28"/>
        </w:rPr>
        <w:t xml:space="preserve">
      Сноска. Наименование Методики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Методики слова "нарушение правил конкуренции" в соответствующем падеже заменены словом "нарушение" в соответствующем падеже, слово "нарушитель" в соответствующем падеже заменены словом "правонарушитель" в соответствующем падеже, слова "непредставление информации" в соответствующем падеже заменены словами "непредставление или несвоевременное представление в Комиссию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(за исключением пункта 13 настоящей Методики) в соответствующем падеже, слова "Таможенного союза и Единого экономического пространства" заменены словом "Союза"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за исключением пункта 1, слова "предусмотренных разделом XVIII Договора и Протоколом, в том числе непредставление сведений (информации) по требованию Комиссии," исключены решением Совета Евразийской экономической комиссии от 29.08.2023 </w:t>
      </w:r>
      <w:r>
        <w:rPr>
          <w:rFonts w:ascii="Times New Roman"/>
          <w:b w:val="false"/>
          <w:i w:val="false"/>
          <w:color w:val="000000"/>
          <w:sz w:val="28"/>
        </w:rPr>
        <w:t>№ 88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5" w:id="4"/>
    <w:p>
      <w:pPr>
        <w:spacing w:after="0"/>
        <w:ind w:left="0"/>
        <w:jc w:val="both"/>
      </w:pPr>
      <w:r>
        <w:rPr>
          <w:rFonts w:ascii="Times New Roman"/>
          <w:b w:val="false"/>
          <w:i w:val="false"/>
          <w:color w:val="000000"/>
          <w:sz w:val="28"/>
        </w:rPr>
        <w:t>
       I. Общие положения</w:t>
      </w:r>
    </w:p>
    <w:bookmarkEnd w:id="4"/>
    <w:bookmarkStart w:name="z6" w:id="5"/>
    <w:p>
      <w:pPr>
        <w:spacing w:after="0"/>
        <w:ind w:left="0"/>
        <w:jc w:val="both"/>
      </w:pPr>
      <w:r>
        <w:rPr>
          <w:rFonts w:ascii="Times New Roman"/>
          <w:b w:val="false"/>
          <w:i w:val="false"/>
          <w:color w:val="000000"/>
          <w:sz w:val="28"/>
        </w:rPr>
        <w:t xml:space="preserve">
      1. Настоящие Методика и порядок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и определяют порядки расчета размера и наложения Евразийской экономической комиссией (далее – Комиссия) штрафов для юридических лиц, должностных лиц, индивидуальных предпринимателей и физических лиц за нарушение общих правил конкуренции на трансграничных рынках на территориях двух и более государств – членов Евразийского экономического союза, предусмотренных </w:t>
      </w:r>
      <w:r>
        <w:rPr>
          <w:rFonts w:ascii="Times New Roman"/>
          <w:b w:val="false"/>
          <w:i w:val="false"/>
          <w:color w:val="000000"/>
          <w:sz w:val="28"/>
        </w:rPr>
        <w:t>статьей 76</w:t>
      </w:r>
      <w:r>
        <w:rPr>
          <w:rFonts w:ascii="Times New Roman"/>
          <w:b w:val="false"/>
          <w:i w:val="false"/>
          <w:color w:val="000000"/>
          <w:sz w:val="28"/>
        </w:rPr>
        <w:t xml:space="preserve"> Договора о Евразийском экономическом союзе от 29 мая 2014 года (далее соответственно – трансграничные рынки, Союз, Договор), за непредставление или несвоевременное представление в Комиссию сведений (информации) при реализации Комиссией своих полномочий,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за непредставление сведений (информации) по требованию Комиссии(далее – непредставление или несвоевременное представление в Комиссию сведений (информации)), а равно за представление в Комиссию заведомо недостоверных сведений (информации), а также за невыполнение, ненадлежащее выполнение или невыполнение в срок решений Комиссии, обязывающих правонарушителя совершать определенные действия.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Для целей применения настоящих Методики и порядка используются следующие понятия:</w:t>
      </w:r>
    </w:p>
    <w:bookmarkEnd w:id="6"/>
    <w:bookmarkStart w:name="z8" w:id="7"/>
    <w:p>
      <w:pPr>
        <w:spacing w:after="0"/>
        <w:ind w:left="0"/>
        <w:jc w:val="both"/>
      </w:pPr>
      <w:r>
        <w:rPr>
          <w:rFonts w:ascii="Times New Roman"/>
          <w:b w:val="false"/>
          <w:i w:val="false"/>
          <w:color w:val="000000"/>
          <w:sz w:val="28"/>
        </w:rPr>
        <w:t>
      "выручка" – все поступления, выраженные в национальной валюте и связанные с расчетами за реализованный товар, на рынке которого было совершено нарушение,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правонарушитель не осуществлял деятельность по реализации товара, на рынке которого совершено нарушение, в предшествующем календарном году;</w:t>
      </w:r>
    </w:p>
    <w:bookmarkEnd w:id="7"/>
    <w:bookmarkStart w:name="z9" w:id="8"/>
    <w:p>
      <w:pPr>
        <w:spacing w:after="0"/>
        <w:ind w:left="0"/>
        <w:jc w:val="both"/>
      </w:pPr>
      <w:r>
        <w:rPr>
          <w:rFonts w:ascii="Times New Roman"/>
          <w:b w:val="false"/>
          <w:i w:val="false"/>
          <w:color w:val="000000"/>
          <w:sz w:val="28"/>
        </w:rPr>
        <w:t xml:space="preserve">
      "нарушение" – нарушение юридическим лицом, должностным лицом, индивидуальным предпринимателем или физическим лицом общих правил конкуренции на трансграничных рынках, непредставление или несвоевременное представление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непредставление сведений (информации) по требованию Комиссии, а равно представление в Комиссию заведомо недостоверных сведений (информации), а также невыполнение, ненадлежащее выполнение или невыполнение в срок решений Комиссии, обязывающих правонарушителя совершать определенные действия;</w:t>
      </w:r>
    </w:p>
    <w:bookmarkEnd w:id="8"/>
    <w:bookmarkStart w:name="z10" w:id="9"/>
    <w:p>
      <w:pPr>
        <w:spacing w:after="0"/>
        <w:ind w:left="0"/>
        <w:jc w:val="both"/>
      </w:pPr>
      <w:r>
        <w:rPr>
          <w:rFonts w:ascii="Times New Roman"/>
          <w:b w:val="false"/>
          <w:i w:val="false"/>
          <w:color w:val="000000"/>
          <w:sz w:val="28"/>
        </w:rPr>
        <w:t xml:space="preserve">
      "правонарушитель" – юридическое лицо, должностное лицо, индивидуальный предприниматель или физическое лицо, признанные Комиссией в соответствии с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нарушившими общие правила конкуренции на трансграничных рынках,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Договора, не представившие или несвоевременно представившие в Комиссию сведения (информацию), предусмотренные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не представившие сведения (информацию) по требованию Комиссии, а равно представившие в Комиссию заведомо недостоверные сведения (информацию), а также не выполнившие, ненадлежащим образом выполнившие или не выполнившие в срок решения Комиссии, обязывающие правонарушителя совершать определенные действия;</w:t>
      </w:r>
    </w:p>
    <w:bookmarkEnd w:id="9"/>
    <w:bookmarkStart w:name="z11" w:id="10"/>
    <w:p>
      <w:pPr>
        <w:spacing w:after="0"/>
        <w:ind w:left="0"/>
        <w:jc w:val="both"/>
      </w:pPr>
      <w:r>
        <w:rPr>
          <w:rFonts w:ascii="Times New Roman"/>
          <w:b w:val="false"/>
          <w:i w:val="false"/>
          <w:color w:val="000000"/>
          <w:sz w:val="28"/>
        </w:rPr>
        <w:t>
      "совокупная сумма выручки" – все поступления, выраженные в денежном эквиваленте и связанные с расчетами за все реализованные товары на рынках, на которых осуществляет деятельность правонарушитель, в денежной и (или) натуральной формах,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правонарушитель не осуществлял деятельность по реализации товара в предшествующем календарном году.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В настоящих Методике и порядке также используются понятия,</w:t>
      </w:r>
    </w:p>
    <w:bookmarkEnd w:id="11"/>
    <w:p>
      <w:pPr>
        <w:spacing w:after="0"/>
        <w:ind w:left="0"/>
        <w:jc w:val="both"/>
      </w:pPr>
      <w:r>
        <w:rPr>
          <w:rFonts w:ascii="Times New Roman"/>
          <w:b w:val="false"/>
          <w:i w:val="false"/>
          <w:color w:val="000000"/>
          <w:sz w:val="28"/>
        </w:rPr>
        <w:t xml:space="preserve">
      определенные в </w:t>
      </w:r>
      <w:r>
        <w:rPr>
          <w:rFonts w:ascii="Times New Roman"/>
          <w:b w:val="false"/>
          <w:i w:val="false"/>
          <w:color w:val="000000"/>
          <w:sz w:val="28"/>
        </w:rPr>
        <w:t>пункте 2</w:t>
      </w:r>
      <w:r>
        <w:rPr>
          <w:rFonts w:ascii="Times New Roman"/>
          <w:b w:val="false"/>
          <w:i w:val="false"/>
          <w:color w:val="000000"/>
          <w:sz w:val="28"/>
        </w:rPr>
        <w:t xml:space="preserve">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II. Расчет размера штрафов</w:t>
      </w:r>
    </w:p>
    <w:bookmarkEnd w:id="12"/>
    <w:bookmarkStart w:name="z14" w:id="13"/>
    <w:p>
      <w:pPr>
        <w:spacing w:after="0"/>
        <w:ind w:left="0"/>
        <w:jc w:val="both"/>
      </w:pPr>
      <w:r>
        <w:rPr>
          <w:rFonts w:ascii="Times New Roman"/>
          <w:b w:val="false"/>
          <w:i w:val="false"/>
          <w:color w:val="000000"/>
          <w:sz w:val="28"/>
        </w:rPr>
        <w:t xml:space="preserve">
      4. Размер штрафа за нарушение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1</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Размер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а также за невыполнение, ненадлежащее выполнение или невыполнение в срок решений Комиссии, обязывающих правонарушителя совершать определенные действия,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2</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При расчете размера штрафа уполномоченное структурное подразделение Комиссии, в компетенцию которого входят проведение расследований и подготовка материалов дел о нарушении общих правил конкуренции на трансграничных рынках (далее – уполномоченное структурное подразделение), производит перерасчет выручки в рубли по курсу, установленному национальным (центральным) банком соответствующего государства – члена Союза на дату окончания рассмотрения дела о нарушении общих правил конкуренции </w:t>
      </w:r>
    </w:p>
    <w:p>
      <w:pPr>
        <w:spacing w:after="0"/>
        <w:ind w:left="0"/>
        <w:jc w:val="both"/>
      </w:pPr>
      <w:r>
        <w:rPr>
          <w:rFonts w:ascii="Times New Roman"/>
          <w:b w:val="false"/>
          <w:i w:val="false"/>
          <w:color w:val="000000"/>
          <w:sz w:val="28"/>
        </w:rPr>
        <w:t>на трансграничных рынках. В случае изменения на дату принятия решения Комиссии курса, по которому был рассчитан размер штрафа, окончательный расчет размера штрафа производится по курсу, установленному национальным (центральным) банком соответствующего государства – члена Союза на дату принятия решения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Размер штрафа (Ш) рассчитывается по следующей формуле:</w:t>
      </w:r>
    </w:p>
    <w:bookmarkEnd w:id="15"/>
    <w:p>
      <w:pPr>
        <w:spacing w:after="0"/>
        <w:ind w:left="0"/>
        <w:jc w:val="both"/>
      </w:pPr>
      <w:r>
        <w:rPr>
          <w:rFonts w:ascii="Times New Roman"/>
          <w:b w:val="false"/>
          <w:i w:val="false"/>
          <w:color w:val="000000"/>
          <w:sz w:val="28"/>
        </w:rPr>
        <w:t>
      Ш = БШ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ОО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БШ – базовый размер штрафа;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ОО – сумма числовых показателей, характеризующих обстоятельства, отягчающие ответственность;</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ОС – сумма числовых показателей, характеризующих обстоятельства, смягчающие ответственность.</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Базовый размер штрафа (БШ) рассчитывается по следующей формуле:</w:t>
      </w:r>
    </w:p>
    <w:bookmarkEnd w:id="16"/>
    <w:p>
      <w:pPr>
        <w:spacing w:after="0"/>
        <w:ind w:left="0"/>
        <w:jc w:val="both"/>
      </w:pPr>
      <w:r>
        <w:rPr>
          <w:rFonts w:ascii="Times New Roman"/>
          <w:b w:val="false"/>
          <w:i w:val="false"/>
          <w:color w:val="000000"/>
          <w:sz w:val="28"/>
        </w:rPr>
        <w:t>
      БШ = (МаксШ + МинШ) / 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МаксШ – размер максимального штрафа;</w:t>
      </w:r>
    </w:p>
    <w:p>
      <w:pPr>
        <w:spacing w:after="0"/>
        <w:ind w:left="0"/>
        <w:jc w:val="both"/>
      </w:pPr>
      <w:r>
        <w:rPr>
          <w:rFonts w:ascii="Times New Roman"/>
          <w:b w:val="false"/>
          <w:i w:val="false"/>
          <w:color w:val="000000"/>
          <w:sz w:val="28"/>
        </w:rPr>
        <w:t>
      МинШ – размер минимального штрафа.</w:t>
      </w:r>
    </w:p>
    <w:bookmarkStart w:name="z18" w:id="17"/>
    <w:p>
      <w:pPr>
        <w:spacing w:after="0"/>
        <w:ind w:left="0"/>
        <w:jc w:val="both"/>
      </w:pPr>
      <w:r>
        <w:rPr>
          <w:rFonts w:ascii="Times New Roman"/>
          <w:b w:val="false"/>
          <w:i w:val="false"/>
          <w:color w:val="000000"/>
          <w:sz w:val="28"/>
        </w:rPr>
        <w:t>
      7. Размер максимального штрафа составляет:</w:t>
      </w:r>
    </w:p>
    <w:bookmarkEnd w:id="17"/>
    <w:bookmarkStart w:name="z19" w:id="18"/>
    <w:p>
      <w:pPr>
        <w:spacing w:after="0"/>
        <w:ind w:left="0"/>
        <w:jc w:val="both"/>
      </w:pPr>
      <w:r>
        <w:rPr>
          <w:rFonts w:ascii="Times New Roman"/>
          <w:b w:val="false"/>
          <w:i w:val="false"/>
          <w:color w:val="000000"/>
          <w:sz w:val="28"/>
        </w:rPr>
        <w:t xml:space="preserve">
      а) за нарушения, предусмотренные подпунктом 1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110 000 российских рублей, для юридических лиц – 1 000 000 российских рублей;</w:t>
      </w:r>
    </w:p>
    <w:bookmarkEnd w:id="18"/>
    <w:bookmarkStart w:name="z20" w:id="19"/>
    <w:p>
      <w:pPr>
        <w:spacing w:after="0"/>
        <w:ind w:left="0"/>
        <w:jc w:val="both"/>
      </w:pPr>
      <w:r>
        <w:rPr>
          <w:rFonts w:ascii="Times New Roman"/>
          <w:b w:val="false"/>
          <w:i w:val="false"/>
          <w:color w:val="000000"/>
          <w:sz w:val="28"/>
        </w:rPr>
        <w:t xml:space="preserve">
      б) за 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19"/>
    <w:bookmarkStart w:name="z21" w:id="20"/>
    <w:p>
      <w:pPr>
        <w:spacing w:after="0"/>
        <w:ind w:left="0"/>
        <w:jc w:val="both"/>
      </w:pPr>
      <w:r>
        <w:rPr>
          <w:rFonts w:ascii="Times New Roman"/>
          <w:b w:val="false"/>
          <w:i w:val="false"/>
          <w:color w:val="000000"/>
          <w:sz w:val="28"/>
        </w:rPr>
        <w:t xml:space="preserve">
      в) за нарушения, предусмотренные подпунктом 3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75 000 российских рублей, для должностных лиц и индивидуальных предпринимателей – 150 000 российских рублей, для юридических лиц – 5 000 000 российских рублей;</w:t>
      </w:r>
    </w:p>
    <w:bookmarkEnd w:id="20"/>
    <w:bookmarkStart w:name="z22" w:id="21"/>
    <w:p>
      <w:pPr>
        <w:spacing w:after="0"/>
        <w:ind w:left="0"/>
        <w:jc w:val="both"/>
      </w:pPr>
      <w:r>
        <w:rPr>
          <w:rFonts w:ascii="Times New Roman"/>
          <w:b w:val="false"/>
          <w:i w:val="false"/>
          <w:color w:val="000000"/>
          <w:sz w:val="28"/>
        </w:rPr>
        <w:t xml:space="preserve">
      г) за нарушения, предусмотренные подпунктом 4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21"/>
    <w:bookmarkStart w:name="z23" w:id="22"/>
    <w:p>
      <w:pPr>
        <w:spacing w:after="0"/>
        <w:ind w:left="0"/>
        <w:jc w:val="both"/>
      </w:pPr>
      <w:r>
        <w:rPr>
          <w:rFonts w:ascii="Times New Roman"/>
          <w:b w:val="false"/>
          <w:i w:val="false"/>
          <w:color w:val="000000"/>
          <w:sz w:val="28"/>
        </w:rPr>
        <w:t xml:space="preserve">
      д) за нарушения, предусмотренные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15 000 российских рублей, для должностных лиц и индивидуальных предпринимателей – 60 000 российских рублей, для юридических лиц – 1 000 000 российских рублей;</w:t>
      </w:r>
    </w:p>
    <w:bookmarkEnd w:id="22"/>
    <w:bookmarkStart w:name="z69" w:id="23"/>
    <w:p>
      <w:pPr>
        <w:spacing w:after="0"/>
        <w:ind w:left="0"/>
        <w:jc w:val="both"/>
      </w:pPr>
      <w:r>
        <w:rPr>
          <w:rFonts w:ascii="Times New Roman"/>
          <w:b w:val="false"/>
          <w:i w:val="false"/>
          <w:color w:val="000000"/>
          <w:sz w:val="28"/>
        </w:rPr>
        <w:t>
      е) за нарушения, предусмотренные подпунктом 6 пункта 16 Протокола, в части невыполнения, ненадлежащего выполнения или невыполнения в срок решений Комиссии, обязывающих правонарушителя совершать определенные действия:</w:t>
      </w:r>
    </w:p>
    <w:bookmarkEnd w:id="23"/>
    <w:p>
      <w:pPr>
        <w:spacing w:after="0"/>
        <w:ind w:left="0"/>
        <w:jc w:val="both"/>
      </w:pPr>
      <w:r>
        <w:rPr>
          <w:rFonts w:ascii="Times New Roman"/>
          <w:b w:val="false"/>
          <w:i w:val="false"/>
          <w:color w:val="000000"/>
          <w:sz w:val="28"/>
        </w:rPr>
        <w:t>
      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для физических лиц – 35 000 российских рублей, для должностных лиц и индивидуальных предпринимателей – 45 000 российских рублей, для юридических лиц – 700 000 российских рублей;</w:t>
      </w:r>
    </w:p>
    <w:p>
      <w:pPr>
        <w:spacing w:after="0"/>
        <w:ind w:left="0"/>
        <w:jc w:val="both"/>
      </w:pP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для должностных лиц и индивидуальных предпринимателей – 30 000 российских рублей, для юридических лиц – 700 000 российских рублей;</w:t>
      </w:r>
    </w:p>
    <w:p>
      <w:pPr>
        <w:spacing w:after="0"/>
        <w:ind w:left="0"/>
        <w:jc w:val="both"/>
      </w:pPr>
      <w:r>
        <w:rPr>
          <w:rFonts w:ascii="Times New Roman"/>
          <w:b w:val="false"/>
          <w:i w:val="false"/>
          <w:color w:val="000000"/>
          <w:sz w:val="28"/>
        </w:rPr>
        <w:t>
      о прекращении недобросовестной конкуренции и (или) совершении действий, направленных на обеспечение конкуренции: для должностных лиц и индивидуальных предпринимателей – 30 000 российских рублей, для юридических лиц – 500 000 российских рублей.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8. Размер минимального штрафа составляет:</w:t>
      </w:r>
    </w:p>
    <w:bookmarkEnd w:id="24"/>
    <w:bookmarkStart w:name="z25" w:id="25"/>
    <w:p>
      <w:pPr>
        <w:spacing w:after="0"/>
        <w:ind w:left="0"/>
        <w:jc w:val="both"/>
      </w:pPr>
      <w:r>
        <w:rPr>
          <w:rFonts w:ascii="Times New Roman"/>
          <w:b w:val="false"/>
          <w:i w:val="false"/>
          <w:color w:val="000000"/>
          <w:sz w:val="28"/>
        </w:rPr>
        <w:t xml:space="preserve">
      а) за нарушения, предусмотренные подпунктом 1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100 000 российских рублей;</w:t>
      </w:r>
    </w:p>
    <w:bookmarkEnd w:id="25"/>
    <w:bookmarkStart w:name="z26" w:id="26"/>
    <w:p>
      <w:pPr>
        <w:spacing w:after="0"/>
        <w:ind w:left="0"/>
        <w:jc w:val="both"/>
      </w:pPr>
      <w:r>
        <w:rPr>
          <w:rFonts w:ascii="Times New Roman"/>
          <w:b w:val="false"/>
          <w:i w:val="false"/>
          <w:color w:val="000000"/>
          <w:sz w:val="28"/>
        </w:rPr>
        <w:t xml:space="preserve">
      б) за 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26"/>
    <w:bookmarkStart w:name="z27" w:id="27"/>
    <w:p>
      <w:pPr>
        <w:spacing w:after="0"/>
        <w:ind w:left="0"/>
        <w:jc w:val="both"/>
      </w:pPr>
      <w:r>
        <w:rPr>
          <w:rFonts w:ascii="Times New Roman"/>
          <w:b w:val="false"/>
          <w:i w:val="false"/>
          <w:color w:val="000000"/>
          <w:sz w:val="28"/>
        </w:rPr>
        <w:t xml:space="preserve">
      в) за нарушения, предусмотренные подпунктом 3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20 000 российских рублей, для должностных лиц и индивидуальных предпринимателей – 20 000 российских рублей, для юридических лиц – 200 000 российских рублей;</w:t>
      </w:r>
    </w:p>
    <w:bookmarkEnd w:id="27"/>
    <w:bookmarkStart w:name="z28" w:id="28"/>
    <w:p>
      <w:pPr>
        <w:spacing w:after="0"/>
        <w:ind w:left="0"/>
        <w:jc w:val="both"/>
      </w:pPr>
      <w:r>
        <w:rPr>
          <w:rFonts w:ascii="Times New Roman"/>
          <w:b w:val="false"/>
          <w:i w:val="false"/>
          <w:color w:val="000000"/>
          <w:sz w:val="28"/>
        </w:rPr>
        <w:t xml:space="preserve">
      г) за нарушения, предусмотренные подпунктом 4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28"/>
    <w:bookmarkStart w:name="z29" w:id="29"/>
    <w:p>
      <w:pPr>
        <w:spacing w:after="0"/>
        <w:ind w:left="0"/>
        <w:jc w:val="both"/>
      </w:pPr>
      <w:r>
        <w:rPr>
          <w:rFonts w:ascii="Times New Roman"/>
          <w:b w:val="false"/>
          <w:i w:val="false"/>
          <w:color w:val="000000"/>
          <w:sz w:val="28"/>
        </w:rPr>
        <w:t xml:space="preserve">
      д) за нарушения, предусмотренные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10 000 российских рублей, для должностных лиц и индивидуальных предпринимателей – 10 000 российских рублей, для юридических лиц – 150 000 российских рублей;</w:t>
      </w:r>
    </w:p>
    <w:bookmarkEnd w:id="29"/>
    <w:bookmarkStart w:name="z70" w:id="30"/>
    <w:p>
      <w:pPr>
        <w:spacing w:after="0"/>
        <w:ind w:left="0"/>
        <w:jc w:val="both"/>
      </w:pPr>
      <w:r>
        <w:rPr>
          <w:rFonts w:ascii="Times New Roman"/>
          <w:b w:val="false"/>
          <w:i w:val="false"/>
          <w:color w:val="000000"/>
          <w:sz w:val="28"/>
        </w:rPr>
        <w:t>
      е) за нарушения, предусмотренные подпунктом 6 пункта 16 Протокола, в части невыполнения, ненадлежащего выполнения или невыполнения в срок решений Комиссии, обязывающих правонарушителя совершать определенные действия:</w:t>
      </w:r>
    </w:p>
    <w:bookmarkEnd w:id="30"/>
    <w:p>
      <w:pPr>
        <w:spacing w:after="0"/>
        <w:ind w:left="0"/>
        <w:jc w:val="both"/>
      </w:pPr>
      <w:r>
        <w:rPr>
          <w:rFonts w:ascii="Times New Roman"/>
          <w:b w:val="false"/>
          <w:i w:val="false"/>
          <w:color w:val="000000"/>
          <w:sz w:val="28"/>
        </w:rPr>
        <w:t>
      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для физических лиц – 25 000 российских рублей, для должностных лиц и индивидуальных предпринимателей – 35 000 российских рублей, для юридических лиц – 500 000 российских рублей;</w:t>
      </w:r>
    </w:p>
    <w:p>
      <w:pPr>
        <w:spacing w:after="0"/>
        <w:ind w:left="0"/>
        <w:jc w:val="both"/>
      </w:pP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для должностных лиц и индивидуальных предпринимателей – 20 000 российских рублей, для юридических лиц – 500 000 российских рублей;</w:t>
      </w:r>
    </w:p>
    <w:p>
      <w:pPr>
        <w:spacing w:after="0"/>
        <w:ind w:left="0"/>
        <w:jc w:val="both"/>
      </w:pPr>
      <w:r>
        <w:rPr>
          <w:rFonts w:ascii="Times New Roman"/>
          <w:b w:val="false"/>
          <w:i w:val="false"/>
          <w:color w:val="000000"/>
          <w:sz w:val="28"/>
        </w:rPr>
        <w:t>
      о прекращении недобросовестной конкуренции и (или) совершении действий, направленных на обеспечение конкуренции: для должностных лиц и индивидуальных предпринимателей – 20 000 российских рублей, для юридических лиц – 300 000 российских рублей.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9. При расчете штрафов учитываются обстоятельства, смягчающие ответственность (ОС), и обстоятельства, отягчающие ответственность (ОО), характеризующиеся числовыми показателями.</w:t>
      </w:r>
    </w:p>
    <w:bookmarkEnd w:id="31"/>
    <w:bookmarkStart w:name="z31" w:id="32"/>
    <w:p>
      <w:pPr>
        <w:spacing w:after="0"/>
        <w:ind w:left="0"/>
        <w:jc w:val="both"/>
      </w:pPr>
      <w:r>
        <w:rPr>
          <w:rFonts w:ascii="Times New Roman"/>
          <w:b w:val="false"/>
          <w:i w:val="false"/>
          <w:color w:val="000000"/>
          <w:sz w:val="28"/>
        </w:rPr>
        <w:t>
      Числовой показатель рассчитывается для каждого обстоятельства, смягчающего или отягчающего ответственность, по следующей формуле:</w:t>
      </w:r>
    </w:p>
    <w:bookmarkEnd w:id="32"/>
    <w:bookmarkStart w:name="z32" w:id="33"/>
    <w:p>
      <w:pPr>
        <w:spacing w:after="0"/>
        <w:ind w:left="0"/>
        <w:jc w:val="both"/>
      </w:pPr>
      <w:r>
        <w:rPr>
          <w:rFonts w:ascii="Times New Roman"/>
          <w:b w:val="false"/>
          <w:i w:val="false"/>
          <w:color w:val="000000"/>
          <w:sz w:val="28"/>
        </w:rPr>
        <w:t>
      ОО (ОС) = ((МаксШ - МинШ) / 12) х k,</w:t>
      </w:r>
    </w:p>
    <w:bookmarkEnd w:id="33"/>
    <w:bookmarkStart w:name="z33" w:id="34"/>
    <w:p>
      <w:pPr>
        <w:spacing w:after="0"/>
        <w:ind w:left="0"/>
        <w:jc w:val="both"/>
      </w:pPr>
      <w:r>
        <w:rPr>
          <w:rFonts w:ascii="Times New Roman"/>
          <w:b w:val="false"/>
          <w:i w:val="false"/>
          <w:color w:val="000000"/>
          <w:sz w:val="28"/>
        </w:rPr>
        <w:t>
      где k – весовой коэффициент обстоятельства, отягчающего или смягчающего ответственность.</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10. Размер штрафа, налагаемого на юридических лиц за нарушения, предусмотренные подпунктами 2 и 4 пункта 16 Протокола, должен быть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bookmarkEnd w:id="35"/>
    <w:p>
      <w:pPr>
        <w:spacing w:after="0"/>
        <w:ind w:left="0"/>
        <w:jc w:val="both"/>
      </w:pPr>
      <w:r>
        <w:rPr>
          <w:rFonts w:ascii="Times New Roman"/>
          <w:b w:val="false"/>
          <w:i w:val="false"/>
          <w:color w:val="000000"/>
          <w:sz w:val="28"/>
        </w:rPr>
        <w:t>
      В случае если полученный в результате расчета размер штрафа меньше минимального штрафа, применяется минимальный штраф.</w:t>
      </w:r>
    </w:p>
    <w:p>
      <w:pPr>
        <w:spacing w:after="0"/>
        <w:ind w:left="0"/>
        <w:jc w:val="both"/>
      </w:pPr>
      <w:r>
        <w:rPr>
          <w:rFonts w:ascii="Times New Roman"/>
          <w:b w:val="false"/>
          <w:i w:val="false"/>
          <w:color w:val="000000"/>
          <w:sz w:val="28"/>
        </w:rPr>
        <w:t>
      В случае если полученный в результате расчета размер штрафа больше максимального штрафа, применяется максимальный штраф.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В случае если полученный в результате расчета размер штрафа больше максимального штрафа, применяется максимальный штраф.</w:t>
      </w:r>
    </w:p>
    <w:bookmarkEnd w:id="36"/>
    <w:bookmarkStart w:name="z36" w:id="37"/>
    <w:p>
      <w:pPr>
        <w:spacing w:after="0"/>
        <w:ind w:left="0"/>
        <w:jc w:val="both"/>
      </w:pPr>
      <w:r>
        <w:rPr>
          <w:rFonts w:ascii="Times New Roman"/>
          <w:b w:val="false"/>
          <w:i w:val="false"/>
          <w:color w:val="000000"/>
          <w:sz w:val="28"/>
        </w:rPr>
        <w:t>
      III. Порядок применения штрафных санкций</w:t>
      </w:r>
    </w:p>
    <w:bookmarkEnd w:id="37"/>
    <w:bookmarkStart w:name="z37" w:id="38"/>
    <w:p>
      <w:pPr>
        <w:spacing w:after="0"/>
        <w:ind w:left="0"/>
        <w:jc w:val="both"/>
      </w:pPr>
      <w:r>
        <w:rPr>
          <w:rFonts w:ascii="Times New Roman"/>
          <w:b w:val="false"/>
          <w:i w:val="false"/>
          <w:color w:val="000000"/>
          <w:sz w:val="28"/>
        </w:rPr>
        <w:t>
      11. При применении штрафных санкций за нарушения соблюдаются следующие общие правила:</w:t>
      </w:r>
    </w:p>
    <w:bookmarkEnd w:id="38"/>
    <w:bookmarkStart w:name="z38" w:id="39"/>
    <w:p>
      <w:pPr>
        <w:spacing w:after="0"/>
        <w:ind w:left="0"/>
        <w:jc w:val="both"/>
      </w:pPr>
      <w:r>
        <w:rPr>
          <w:rFonts w:ascii="Times New Roman"/>
          <w:b w:val="false"/>
          <w:i w:val="false"/>
          <w:color w:val="000000"/>
          <w:sz w:val="28"/>
        </w:rPr>
        <w:t xml:space="preserve">
      а) штрафные санкции применяются в пределах, установленных </w:t>
      </w:r>
      <w:r>
        <w:rPr>
          <w:rFonts w:ascii="Times New Roman"/>
          <w:b w:val="false"/>
          <w:i w:val="false"/>
          <w:color w:val="000000"/>
          <w:sz w:val="28"/>
        </w:rPr>
        <w:t>пунктом 16</w:t>
      </w:r>
      <w:r>
        <w:rPr>
          <w:rFonts w:ascii="Times New Roman"/>
          <w:b w:val="false"/>
          <w:i w:val="false"/>
          <w:color w:val="000000"/>
          <w:sz w:val="28"/>
        </w:rPr>
        <w:t xml:space="preserve"> Протокола;</w:t>
      </w:r>
    </w:p>
    <w:bookmarkEnd w:id="39"/>
    <w:bookmarkStart w:name="z39" w:id="40"/>
    <w:p>
      <w:pPr>
        <w:spacing w:after="0"/>
        <w:ind w:left="0"/>
        <w:jc w:val="both"/>
      </w:pPr>
      <w:r>
        <w:rPr>
          <w:rFonts w:ascii="Times New Roman"/>
          <w:b w:val="false"/>
          <w:i w:val="false"/>
          <w:color w:val="000000"/>
          <w:sz w:val="28"/>
        </w:rPr>
        <w:t>
      б) применение штрафных санкций не освобождает нарушителя от исполнения обязанности, за неисполнение которой штрафные санкции были применены;</w:t>
      </w:r>
    </w:p>
    <w:bookmarkEnd w:id="40"/>
    <w:bookmarkStart w:name="z40" w:id="41"/>
    <w:p>
      <w:pPr>
        <w:spacing w:after="0"/>
        <w:ind w:left="0"/>
        <w:jc w:val="both"/>
      </w:pPr>
      <w:r>
        <w:rPr>
          <w:rFonts w:ascii="Times New Roman"/>
          <w:b w:val="false"/>
          <w:i w:val="false"/>
          <w:color w:val="000000"/>
          <w:sz w:val="28"/>
        </w:rPr>
        <w:t>
      в) правонарушитель не может нести ответственность дважды за одно и то же нарушение;</w:t>
      </w:r>
    </w:p>
    <w:bookmarkEnd w:id="41"/>
    <w:bookmarkStart w:name="z41" w:id="42"/>
    <w:p>
      <w:pPr>
        <w:spacing w:after="0"/>
        <w:ind w:left="0"/>
        <w:jc w:val="both"/>
      </w:pPr>
      <w:r>
        <w:rPr>
          <w:rFonts w:ascii="Times New Roman"/>
          <w:b w:val="false"/>
          <w:i w:val="false"/>
          <w:color w:val="000000"/>
          <w:sz w:val="28"/>
        </w:rPr>
        <w:t>
      г) при совершении нарушителем двух и более нарушений штраф применяется за каждое совершенное нарушение. При этом, если два и более нарушения совершены посредством одного действия (бездействия), ответственность за которые предусмотрена двумя и более подпунктами пункта 16 Протокола, штраф применяется в пределах более высокой штрафной санкции, предусмотренной за такие действия (бездействие).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 исключен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14. Юридическое лицо, должностное лицо, индивидуальный предприниматель или физическое лицо считаются подвергнутыми ответственности за нарушение в течение одного года со дня окончания исполнения решения по делу.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15. В случае реорганизации юридического лица, признанного нарушителем, соблюдаются следующие правила наложения штрафа за нарушение:</w:t>
      </w:r>
    </w:p>
    <w:bookmarkEnd w:id="44"/>
    <w:bookmarkStart w:name="z47" w:id="45"/>
    <w:p>
      <w:pPr>
        <w:spacing w:after="0"/>
        <w:ind w:left="0"/>
        <w:jc w:val="both"/>
      </w:pPr>
      <w:r>
        <w:rPr>
          <w:rFonts w:ascii="Times New Roman"/>
          <w:b w:val="false"/>
          <w:i w:val="false"/>
          <w:color w:val="000000"/>
          <w:sz w:val="28"/>
        </w:rPr>
        <w:t>
      а) при слиянии нескольких юридических лиц к ответственности привлекается вновь возникшее юридическое лицо;</w:t>
      </w:r>
    </w:p>
    <w:bookmarkEnd w:id="45"/>
    <w:bookmarkStart w:name="z48" w:id="46"/>
    <w:p>
      <w:pPr>
        <w:spacing w:after="0"/>
        <w:ind w:left="0"/>
        <w:jc w:val="both"/>
      </w:pPr>
      <w:r>
        <w:rPr>
          <w:rFonts w:ascii="Times New Roman"/>
          <w:b w:val="false"/>
          <w:i w:val="false"/>
          <w:color w:val="000000"/>
          <w:sz w:val="28"/>
        </w:rPr>
        <w:t>
      б) при присоединении юридического лица к другому юридическому лицу к ответственности привлекается присоединившее юридическое лицо;</w:t>
      </w:r>
    </w:p>
    <w:bookmarkEnd w:id="46"/>
    <w:bookmarkStart w:name="z49" w:id="47"/>
    <w:p>
      <w:pPr>
        <w:spacing w:after="0"/>
        <w:ind w:left="0"/>
        <w:jc w:val="both"/>
      </w:pPr>
      <w:r>
        <w:rPr>
          <w:rFonts w:ascii="Times New Roman"/>
          <w:b w:val="false"/>
          <w:i w:val="false"/>
          <w:color w:val="000000"/>
          <w:sz w:val="28"/>
        </w:rPr>
        <w:t>
      в) при разделении юридического лица или при выделении из состава юридического лица одного или нескольких юридических лиц к ответственности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нарушение;</w:t>
      </w:r>
    </w:p>
    <w:bookmarkEnd w:id="47"/>
    <w:bookmarkStart w:name="z50" w:id="48"/>
    <w:p>
      <w:pPr>
        <w:spacing w:after="0"/>
        <w:ind w:left="0"/>
        <w:jc w:val="both"/>
      </w:pPr>
      <w:r>
        <w:rPr>
          <w:rFonts w:ascii="Times New Roman"/>
          <w:b w:val="false"/>
          <w:i w:val="false"/>
          <w:color w:val="000000"/>
          <w:sz w:val="28"/>
        </w:rPr>
        <w:t>
      г) при преобразовании юридического лица одного вида в юридическое лицо другого вида к ответственности привлекается вновь возникшее юридическое лицо;</w:t>
      </w:r>
    </w:p>
    <w:bookmarkEnd w:id="48"/>
    <w:bookmarkStart w:name="z51" w:id="49"/>
    <w:p>
      <w:pPr>
        <w:spacing w:after="0"/>
        <w:ind w:left="0"/>
        <w:jc w:val="both"/>
      </w:pPr>
      <w:r>
        <w:rPr>
          <w:rFonts w:ascii="Times New Roman"/>
          <w:b w:val="false"/>
          <w:i w:val="false"/>
          <w:color w:val="000000"/>
          <w:sz w:val="28"/>
        </w:rPr>
        <w:t xml:space="preserve">
      д) штрафные санкции, наложенные на нарушителя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Протокола за нарушения до завершения реорганизации юридического лица, применяются с учетом положений подпунктов "а" – "г" настоящего пункта;</w:t>
      </w:r>
    </w:p>
    <w:bookmarkEnd w:id="49"/>
    <w:p>
      <w:pPr>
        <w:spacing w:after="0"/>
        <w:ind w:left="0"/>
        <w:jc w:val="both"/>
      </w:pPr>
      <w:r>
        <w:rPr>
          <w:rFonts w:ascii="Times New Roman"/>
          <w:b w:val="false"/>
          <w:i w:val="false"/>
          <w:color w:val="000000"/>
          <w:sz w:val="28"/>
        </w:rPr>
        <w:t>
      е) в случаях, указанных в подпунктах "а" - "д" настоящего пункта, ответственность наступает независимо от того, было ли известно привлекаемому к ответственности юридическому лицу о факте нарушения до завершения реорганизации.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xml:space="preserve">
      16. Решение Комиссии о наложении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а также за невыполнение, ненадлежащее выполнение или невыполнение в срок решений Комиссии, обязывающих правонарушителя совершать определенные действия, принимается в порядке, определенном </w:t>
      </w:r>
      <w:r>
        <w:rPr>
          <w:rFonts w:ascii="Times New Roman"/>
          <w:b w:val="false"/>
          <w:i w:val="false"/>
          <w:color w:val="000000"/>
          <w:sz w:val="28"/>
        </w:rPr>
        <w:t>пунктом 17</w:t>
      </w:r>
      <w:r>
        <w:rPr>
          <w:rFonts w:ascii="Times New Roman"/>
          <w:b w:val="false"/>
          <w:i w:val="false"/>
          <w:color w:val="000000"/>
          <w:sz w:val="28"/>
        </w:rPr>
        <w:t xml:space="preserve"> настоящих Методики и порядка.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17. Решение Комиссии о наложении на нарушителя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а также за невыполнение, ненадлежащее выполнение или невыполнение в срок решений Комиссии, обязывающих правонарушителя совершать определенные действия, принимается в следующем порядке:</w:t>
      </w:r>
    </w:p>
    <w:bookmarkEnd w:id="51"/>
    <w:bookmarkStart w:name="z55" w:id="52"/>
    <w:p>
      <w:pPr>
        <w:spacing w:after="0"/>
        <w:ind w:left="0"/>
        <w:jc w:val="both"/>
      </w:pPr>
      <w:r>
        <w:rPr>
          <w:rFonts w:ascii="Times New Roman"/>
          <w:b w:val="false"/>
          <w:i w:val="false"/>
          <w:color w:val="000000"/>
          <w:sz w:val="28"/>
        </w:rPr>
        <w:t xml:space="preserve">
      а) уполномоченное структурное подразделение, которое выявило факт непредставления или несвоевременного представления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факт непредставления сведений (информации) по требованию Комиссии, а равно факт представления в Комиссию заведомо недостоверных сведений (информации) или факт невыполнения, ненадлежащего выполнения или невыполнения в срок решений Комиссии, обязывающих правонарушителя совершать определенные действия, готовит служебную записку на имя курирующего это структурное подразделение члена Коллегии Комиссии;</w:t>
      </w:r>
    </w:p>
    <w:bookmarkEnd w:id="52"/>
    <w:bookmarkStart w:name="z56" w:id="53"/>
    <w:p>
      <w:pPr>
        <w:spacing w:after="0"/>
        <w:ind w:left="0"/>
        <w:jc w:val="both"/>
      </w:pPr>
      <w:r>
        <w:rPr>
          <w:rFonts w:ascii="Times New Roman"/>
          <w:b w:val="false"/>
          <w:i w:val="false"/>
          <w:color w:val="000000"/>
          <w:sz w:val="28"/>
        </w:rPr>
        <w:t xml:space="preserve">
      б) подготовка проекта решения Коллегии Комиссии о наложении штрафа за непредставление или несвоевременное представление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или за невыполнение, ненадлежащее выполнение или невыполнение в срок решений Комиссии, обязывающих правонарушителя совершать определенные действия, осуществляется комиссией по рассмотрению соответствующего дела, создаваемой и действующей по правилам, установленным для комиссии по рассмотрению дела о нарушении в соответствии с Порядком рассмотрения дел о нарушении правил конкуренции, утвержденным Решением Совета Евразийской экономической комиссии от 23 ноября 2012 г. № 99;</w:t>
      </w:r>
    </w:p>
    <w:bookmarkEnd w:id="53"/>
    <w:bookmarkStart w:name="z57" w:id="54"/>
    <w:p>
      <w:pPr>
        <w:spacing w:after="0"/>
        <w:ind w:left="0"/>
        <w:jc w:val="both"/>
      </w:pPr>
      <w:r>
        <w:rPr>
          <w:rFonts w:ascii="Times New Roman"/>
          <w:b w:val="false"/>
          <w:i w:val="false"/>
          <w:color w:val="000000"/>
          <w:sz w:val="28"/>
        </w:rPr>
        <w:t>
      в) комиссия по рассмотрению дела при подготовке проекта решения Комиссии о наложении штрафа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или за невыполнение, ненадлежащее выполнение или невыполнение в срок решений Комиссии, обязывающих правонарушителя совершать определенные действия, рассчитывает размер штрафа.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Штрафы, предусмотренные пунктом 16 Протокола, уплачиваются правонарушителями в национальной валюте того государства – члена Союза, на территории которого зарегистрирован (постоянно или временно проживает) правонарушитель, по курсу, установленному национальным (центральным) банком указанного государства – члена Союза на день принятия Комиссией решения о наложении штрафа.</w:t>
      </w:r>
    </w:p>
    <w:bookmarkEnd w:id="55"/>
    <w:p>
      <w:pPr>
        <w:spacing w:after="0"/>
        <w:ind w:left="0"/>
        <w:jc w:val="both"/>
      </w:pPr>
      <w:r>
        <w:rPr>
          <w:rFonts w:ascii="Times New Roman"/>
          <w:b w:val="false"/>
          <w:i w:val="false"/>
          <w:color w:val="000000"/>
          <w:sz w:val="28"/>
        </w:rPr>
        <w:t>
      Штрафы, предусмотренные пунктом 16 Протокола, уплачиваются правонарушителями в полном размере не позднее 60 календарных дней со дня вступления в силу решения Комиссии о наложении штрафа. В случае неуплаты штрафа в указанный срок Комиссия принимает меры, направленные на принудительное исполнение этого решения, в соответствии с пунктом 18 настоящих Методики и порядка.</w:t>
      </w:r>
    </w:p>
    <w:p>
      <w:pPr>
        <w:spacing w:after="0"/>
        <w:ind w:left="0"/>
        <w:jc w:val="both"/>
      </w:pPr>
      <w:r>
        <w:rPr>
          <w:rFonts w:ascii="Times New Roman"/>
          <w:b w:val="false"/>
          <w:i w:val="false"/>
          <w:color w:val="000000"/>
          <w:sz w:val="28"/>
        </w:rPr>
        <w:t>
      Если решением Коллегии Комиссии правонарушителю предписано совершить действия, направленные на прекращение нарушения, устранение последствий нарушения, обеспечение конкуренции, в таком решении устанавливается срок для совершения этих действий. В случае невыполнения правонарушителем предписанных действий в установленный решением Коллегии Комиссии срок Комиссия принимает меры, направленные на принудительное исполнение решения, в соответствии с пунктом 18 настоящих Методики и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дополнено пунктом 17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18. В целях осуществления исполнительного производства и по результатам совершения уполномоченным структурным подразделением действий, предусмотренных пунктом 48</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Порядка</w:t>
      </w:r>
      <w:r>
        <w:rPr>
          <w:rFonts w:ascii="Times New Roman"/>
          <w:b w:val="false"/>
          <w:i w:val="false"/>
          <w:color w:val="000000"/>
          <w:sz w:val="28"/>
        </w:rPr>
        <w:t xml:space="preserve">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уполномоченное структурное подразделение направляет в органы государственной власти государства – члена Союза, на территории которого зарегистрирован правонарушитель (правонарушители), заверенные экземпляры решения по делу, принятого Коллегией Комиссии, в количестве, соответствующем числу таких правонарушителей:</w:t>
      </w:r>
    </w:p>
    <w:bookmarkEnd w:id="56"/>
    <w:p>
      <w:pPr>
        <w:spacing w:after="0"/>
        <w:ind w:left="0"/>
        <w:jc w:val="both"/>
      </w:pPr>
      <w:r>
        <w:rPr>
          <w:rFonts w:ascii="Times New Roman"/>
          <w:b w:val="false"/>
          <w:i w:val="false"/>
          <w:color w:val="000000"/>
          <w:sz w:val="28"/>
        </w:rPr>
        <w:t>
      не позднее 15 рабочих дней со дня истечения срока, предусмотренного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настоящих Методики и порядка;</w:t>
      </w:r>
    </w:p>
    <w:p>
      <w:pPr>
        <w:spacing w:after="0"/>
        <w:ind w:left="0"/>
        <w:jc w:val="both"/>
      </w:pPr>
      <w:r>
        <w:rPr>
          <w:rFonts w:ascii="Times New Roman"/>
          <w:b w:val="false"/>
          <w:i w:val="false"/>
          <w:color w:val="000000"/>
          <w:sz w:val="28"/>
        </w:rPr>
        <w:t>
      не позднее 30 рабочих дней со дня истечения срока, установленного решением Коллегии Комиссии в соответствии с абзацем третьим пункта 17</w:t>
      </w:r>
      <w:r>
        <w:rPr>
          <w:rFonts w:ascii="Times New Roman"/>
          <w:b w:val="false"/>
          <w:i w:val="false"/>
          <w:color w:val="000000"/>
          <w:vertAlign w:val="superscript"/>
        </w:rPr>
        <w:t>1</w:t>
      </w:r>
      <w:r>
        <w:rPr>
          <w:rFonts w:ascii="Times New Roman"/>
          <w:b w:val="false"/>
          <w:i w:val="false"/>
          <w:color w:val="000000"/>
          <w:sz w:val="28"/>
        </w:rPr>
        <w:t xml:space="preserve"> настоящих Методики и порядка. </w:t>
      </w:r>
    </w:p>
    <w:p>
      <w:pPr>
        <w:spacing w:after="0"/>
        <w:ind w:left="0"/>
        <w:jc w:val="both"/>
      </w:pPr>
      <w:r>
        <w:rPr>
          <w:rFonts w:ascii="Times New Roman"/>
          <w:b w:val="false"/>
          <w:i w:val="false"/>
          <w:color w:val="000000"/>
          <w:sz w:val="28"/>
        </w:rPr>
        <w:t>
      Указанные в абзаце первом настоящего пункта экземпляры решения по делу направляются:</w:t>
      </w:r>
    </w:p>
    <w:p>
      <w:pPr>
        <w:spacing w:after="0"/>
        <w:ind w:left="0"/>
        <w:jc w:val="both"/>
      </w:pPr>
      <w:r>
        <w:rPr>
          <w:rFonts w:ascii="Times New Roman"/>
          <w:b w:val="false"/>
          <w:i w:val="false"/>
          <w:color w:val="000000"/>
          <w:sz w:val="28"/>
        </w:rPr>
        <w:t>
       для Республики Армения, Кыргызской Республики и Российской Федерации – в центральные аппараты органов принудительного исполнения;</w:t>
      </w:r>
    </w:p>
    <w:p>
      <w:pPr>
        <w:spacing w:after="0"/>
        <w:ind w:left="0"/>
        <w:jc w:val="both"/>
      </w:pPr>
      <w:r>
        <w:rPr>
          <w:rFonts w:ascii="Times New Roman"/>
          <w:b w:val="false"/>
          <w:i w:val="false"/>
          <w:color w:val="000000"/>
          <w:sz w:val="28"/>
        </w:rPr>
        <w:t>
       для Республики Беларусь – в Министерство финансов Республики Беларусь в части решения Комиссии о наложении штрафа и в Министерство иностранных дел Республики Беларусь в части решения Комиссии, обязывающего правонарушителя совершать определенные действия;</w:t>
      </w:r>
    </w:p>
    <w:p>
      <w:pPr>
        <w:spacing w:after="0"/>
        <w:ind w:left="0"/>
        <w:jc w:val="both"/>
      </w:pPr>
      <w:r>
        <w:rPr>
          <w:rFonts w:ascii="Times New Roman"/>
          <w:b w:val="false"/>
          <w:i w:val="false"/>
          <w:color w:val="000000"/>
          <w:sz w:val="28"/>
        </w:rPr>
        <w:t>
      для Республики Казахстан – в Министерство иностранных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Совета Евразийской экономической комиссии от 22.01.2025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19. Орган принудительного исполнения судебных актов, актов других органов и должностных лиц государства – члена Союза, на территории которого зарегистрирован правонарушитель, направляет копии постановления (решения) о возбуждении исполнительного производства в Комиссию, а также нарушителю не позднее дня, следующего за днем вынесения указанного постановления (решения).</w:t>
      </w:r>
    </w:p>
    <w:bookmarkEnd w:id="57"/>
    <w:bookmarkStart w:name="z60" w:id="58"/>
    <w:p>
      <w:pPr>
        <w:spacing w:after="0"/>
        <w:ind w:left="0"/>
        <w:jc w:val="both"/>
      </w:pPr>
      <w:r>
        <w:rPr>
          <w:rFonts w:ascii="Times New Roman"/>
          <w:b w:val="false"/>
          <w:i w:val="false"/>
          <w:color w:val="000000"/>
          <w:sz w:val="28"/>
        </w:rPr>
        <w:t>
      Соответствующий национальный орган принудительного исполнения судебных актов, актов других органов и должностных лиц государства – члена Союза, на территории которого зарегистрирован правонарушитель, не позднее дня, следующего за днем вынесения постановления (решения) об окончании исполнительного производства, направляет копию постановления (решения) в Комиссию.</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Методике расчета и порядку</w:t>
            </w:r>
            <w:r>
              <w:br/>
            </w:r>
            <w:r>
              <w:rPr>
                <w:rFonts w:ascii="Times New Roman"/>
                <w:b w:val="false"/>
                <w:i w:val="false"/>
                <w:color w:val="000000"/>
                <w:sz w:val="20"/>
              </w:rPr>
              <w:t>наложения штрафов за нарушение</w:t>
            </w:r>
            <w:r>
              <w:br/>
            </w:r>
            <w:r>
              <w:rPr>
                <w:rFonts w:ascii="Times New Roman"/>
                <w:b w:val="false"/>
                <w:i w:val="false"/>
                <w:color w:val="000000"/>
                <w:sz w:val="20"/>
              </w:rPr>
              <w:t>общих правил конкуренции</w:t>
            </w:r>
            <w:r>
              <w:br/>
            </w:r>
            <w:r>
              <w:rPr>
                <w:rFonts w:ascii="Times New Roman"/>
                <w:b w:val="false"/>
                <w:i w:val="false"/>
                <w:color w:val="000000"/>
                <w:sz w:val="20"/>
              </w:rPr>
              <w:t>на трансграничных рынках</w:t>
            </w:r>
          </w:p>
        </w:tc>
      </w:tr>
    </w:tbl>
    <w:p>
      <w:pPr>
        <w:spacing w:after="0"/>
        <w:ind w:left="0"/>
        <w:jc w:val="both"/>
      </w:pPr>
      <w:r>
        <w:rPr>
          <w:rFonts w:ascii="Times New Roman"/>
          <w:b w:val="false"/>
          <w:i w:val="false"/>
          <w:color w:val="ff0000"/>
          <w:sz w:val="28"/>
        </w:rPr>
        <w:t xml:space="preserve">
      Сноска.  Правый верхний угол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2" w:id="59"/>
    <w:p>
      <w:pPr>
        <w:spacing w:after="0"/>
        <w:ind w:left="0"/>
        <w:jc w:val="left"/>
      </w:pPr>
      <w:r>
        <w:rPr>
          <w:rFonts w:ascii="Times New Roman"/>
          <w:b/>
          <w:i w:val="false"/>
          <w:color w:val="000000"/>
        </w:rPr>
        <w:t xml:space="preserve">  ПЕРЕЧЕНЬ</w:t>
      </w:r>
      <w:r>
        <w:br/>
      </w:r>
      <w:r>
        <w:rPr>
          <w:rFonts w:ascii="Times New Roman"/>
          <w:b/>
          <w:i w:val="false"/>
          <w:color w:val="000000"/>
        </w:rPr>
        <w:t>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w:t>
      </w:r>
    </w:p>
    <w:bookmarkEnd w:id="59"/>
    <w:p>
      <w:pPr>
        <w:spacing w:after="0"/>
        <w:ind w:left="0"/>
        <w:jc w:val="both"/>
      </w:pPr>
      <w:r>
        <w:rPr>
          <w:rFonts w:ascii="Times New Roman"/>
          <w:b w:val="false"/>
          <w:i w:val="false"/>
          <w:color w:val="ff0000"/>
          <w:sz w:val="28"/>
        </w:rPr>
        <w:t xml:space="preserve">
      Сноска. Перечень с изменениями, внесенными решениями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01.03.2024 </w:t>
      </w:r>
      <w:r>
        <w:rPr>
          <w:rFonts w:ascii="Times New Roman"/>
          <w:b w:val="false"/>
          <w:i w:val="false"/>
          <w:color w:val="ff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смягчающие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физическом лицом, признанными Евразийской экономической комиссией (далее – Комиссия) в соответствии с </w:t>
            </w:r>
            <w:r>
              <w:rPr>
                <w:rFonts w:ascii="Times New Roman"/>
                <w:b w:val="false"/>
                <w:i w:val="false"/>
                <w:color w:val="000000"/>
                <w:sz w:val="20"/>
              </w:rPr>
              <w:t>Порядком</w:t>
            </w:r>
            <w:r>
              <w:rPr>
                <w:rFonts w:ascii="Times New Roman"/>
                <w:b w:val="false"/>
                <w:i w:val="false"/>
                <w:color w:val="000000"/>
                <w:sz w:val="20"/>
              </w:rPr>
              <w:t xml:space="preserve"> рассмотрения дел о нарушении правил конкуренции, утвержденным Решением Совета Евразийской экономической комиссии от 23 ноября 2012 г. № 99, нарушившими общие правила конкуренции на трансграничных рынках, предусмотренные </w:t>
            </w:r>
            <w:r>
              <w:rPr>
                <w:rFonts w:ascii="Times New Roman"/>
                <w:b w:val="false"/>
                <w:i w:val="false"/>
                <w:color w:val="000000"/>
                <w:sz w:val="20"/>
              </w:rPr>
              <w:t>статьей 76</w:t>
            </w:r>
            <w:r>
              <w:rPr>
                <w:rFonts w:ascii="Times New Roman"/>
                <w:b w:val="false"/>
                <w:i w:val="false"/>
                <w:color w:val="000000"/>
                <w:sz w:val="20"/>
              </w:rPr>
              <w:t xml:space="preserve"> Договора о Евразийском экономическом союзе от 29 мая 2014 года (далее соответственно – Договор, правонарушители), в том числе не представившими сведения (информацию) по требованию Комиссии, а равно представившими в Комиссию заведомо недостоверные сведения (информацию) (далее – правонарушители)</w:t>
            </w:r>
          </w:p>
          <w:p>
            <w:pPr>
              <w:spacing w:after="20"/>
              <w:ind w:left="20"/>
              <w:jc w:val="both"/>
            </w:pPr>
            <w:r>
              <w:rPr>
                <w:rFonts w:ascii="Times New Roman"/>
                <w:b w:val="false"/>
                <w:i w:val="false"/>
                <w:color w:val="000000"/>
                <w:sz w:val="20"/>
              </w:rPr>
              <w:t>
Указанное обстоятельство признается в качестве смягчающего ответственность при условии, что до объявления об окончании заседания комиссии по рассмотрению дела о нарушении общих правил конкуренции на трансграничных рынках правонарушитель представит в указанную комиссию документы, подтверждающие добровольное прекращение нарушения общих правил конкуренции на трансграничных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Добровольное возмещение причиненного ущерба или добровольное устранение причиненного вреда правонарушителем при условии представления в комиссию по рассмотрению дела о нарушении общих правил конкуренции на трансграничных рынках до объявления об окончании ее заседания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Добровольное сообщение о нарушении правонарушителем общих правил конкуренции на трансграничном рынке в Комиссию в соответствии с </w:t>
            </w:r>
            <w:r>
              <w:rPr>
                <w:rFonts w:ascii="Times New Roman"/>
                <w:b w:val="false"/>
                <w:i w:val="false"/>
                <w:color w:val="000000"/>
                <w:sz w:val="20"/>
              </w:rPr>
              <w:t>Протоколом</w:t>
            </w:r>
            <w:r>
              <w:rPr>
                <w:rFonts w:ascii="Times New Roman"/>
                <w:b w:val="false"/>
                <w:i w:val="false"/>
                <w:color w:val="000000"/>
                <w:sz w:val="20"/>
              </w:rPr>
              <w:t xml:space="preserve"> об общих принципах и правилах конкуренции (</w:t>
            </w:r>
            <w:r>
              <w:rPr>
                <w:rFonts w:ascii="Times New Roman"/>
                <w:b w:val="false"/>
                <w:i w:val="false"/>
                <w:color w:val="000000"/>
                <w:sz w:val="20"/>
              </w:rPr>
              <w:t>приложение № 19</w:t>
            </w:r>
            <w:r>
              <w:rPr>
                <w:rFonts w:ascii="Times New Roman"/>
                <w:b w:val="false"/>
                <w:i w:val="false"/>
                <w:color w:val="000000"/>
                <w:sz w:val="20"/>
              </w:rPr>
              <w:t xml:space="preserve"> к Договору) (далее –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правонарушитель, добровольно сообщивший о заключении им соглашения, недопустимого в соответствии со </w:t>
            </w:r>
            <w:r>
              <w:rPr>
                <w:rFonts w:ascii="Times New Roman"/>
                <w:b w:val="false"/>
                <w:i w:val="false"/>
                <w:color w:val="000000"/>
                <w:sz w:val="20"/>
              </w:rPr>
              <w:t>статьей 76</w:t>
            </w:r>
            <w:r>
              <w:rPr>
                <w:rFonts w:ascii="Times New Roman"/>
                <w:b w:val="false"/>
                <w:i w:val="false"/>
                <w:color w:val="000000"/>
                <w:sz w:val="20"/>
              </w:rPr>
              <w:t xml:space="preserve"> Договора, освобождается от ответственности за правонарушения, предусмотренные подпунктом 2 </w:t>
            </w:r>
            <w:r>
              <w:rPr>
                <w:rFonts w:ascii="Times New Roman"/>
                <w:b w:val="false"/>
                <w:i w:val="false"/>
                <w:color w:val="000000"/>
                <w:sz w:val="20"/>
              </w:rPr>
              <w:t>пункта 16</w:t>
            </w:r>
            <w:r>
              <w:rPr>
                <w:rFonts w:ascii="Times New Roman"/>
                <w:b w:val="false"/>
                <w:i w:val="false"/>
                <w:color w:val="000000"/>
                <w:sz w:val="20"/>
              </w:rPr>
              <w:t xml:space="preserve"> Протокола, в порядке, предусмотренном </w:t>
            </w:r>
            <w:r>
              <w:rPr>
                <w:rFonts w:ascii="Times New Roman"/>
                <w:b w:val="false"/>
                <w:i w:val="false"/>
                <w:color w:val="000000"/>
                <w:sz w:val="20"/>
              </w:rPr>
              <w:t>пунктом 19</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Оказание юридическим</w:t>
            </w:r>
          </w:p>
          <w:p>
            <w:pPr>
              <w:spacing w:after="20"/>
              <w:ind w:left="20"/>
              <w:jc w:val="both"/>
            </w:pPr>
            <w:r>
              <w:rPr>
                <w:rFonts w:ascii="Times New Roman"/>
                <w:b w:val="false"/>
                <w:i w:val="false"/>
                <w:color w:val="000000"/>
                <w:sz w:val="20"/>
              </w:rPr>
              <w:t>
лицом, нарушившим правила</w:t>
            </w:r>
          </w:p>
          <w:p>
            <w:pPr>
              <w:spacing w:after="20"/>
              <w:ind w:left="20"/>
              <w:jc w:val="both"/>
            </w:pPr>
            <w:r>
              <w:rPr>
                <w:rFonts w:ascii="Times New Roman"/>
                <w:b w:val="false"/>
                <w:i w:val="false"/>
                <w:color w:val="000000"/>
                <w:sz w:val="20"/>
              </w:rPr>
              <w:t>
конкуренции, содействия</w:t>
            </w:r>
          </w:p>
          <w:p>
            <w:pPr>
              <w:spacing w:after="20"/>
              <w:ind w:left="20"/>
              <w:jc w:val="both"/>
            </w:pPr>
            <w:r>
              <w:rPr>
                <w:rFonts w:ascii="Times New Roman"/>
                <w:b w:val="false"/>
                <w:i w:val="false"/>
                <w:color w:val="000000"/>
                <w:sz w:val="20"/>
              </w:rPr>
              <w:t>
Комиссии при рассмотрении</w:t>
            </w:r>
          </w:p>
          <w:p>
            <w:pPr>
              <w:spacing w:after="20"/>
              <w:ind w:left="20"/>
              <w:jc w:val="both"/>
            </w:pPr>
            <w:r>
              <w:rPr>
                <w:rFonts w:ascii="Times New Roman"/>
                <w:b w:val="false"/>
                <w:i w:val="false"/>
                <w:color w:val="000000"/>
                <w:sz w:val="20"/>
              </w:rPr>
              <w:t>
дела о нарушении правил</w:t>
            </w:r>
          </w:p>
          <w:p>
            <w:pPr>
              <w:spacing w:after="20"/>
              <w:ind w:left="20"/>
              <w:jc w:val="both"/>
            </w:pPr>
            <w:r>
              <w:rPr>
                <w:rFonts w:ascii="Times New Roman"/>
                <w:b w:val="false"/>
                <w:i w:val="false"/>
                <w:color w:val="000000"/>
                <w:sz w:val="20"/>
              </w:rPr>
              <w:t>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Предотвращение</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нарушившим правила</w:t>
            </w:r>
          </w:p>
          <w:p>
            <w:pPr>
              <w:spacing w:after="20"/>
              <w:ind w:left="20"/>
              <w:jc w:val="both"/>
            </w:pPr>
            <w:r>
              <w:rPr>
                <w:rFonts w:ascii="Times New Roman"/>
                <w:b w:val="false"/>
                <w:i w:val="false"/>
                <w:color w:val="000000"/>
                <w:sz w:val="20"/>
              </w:rPr>
              <w:t>
конкуренции, негативных</w:t>
            </w:r>
          </w:p>
          <w:p>
            <w:pPr>
              <w:spacing w:after="20"/>
              <w:ind w:left="20"/>
              <w:jc w:val="both"/>
            </w:pPr>
            <w:r>
              <w:rPr>
                <w:rFonts w:ascii="Times New Roman"/>
                <w:b w:val="false"/>
                <w:i w:val="false"/>
                <w:color w:val="000000"/>
                <w:sz w:val="20"/>
              </w:rPr>
              <w:t>
последствий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Юридическое лицо,</w:t>
            </w:r>
          </w:p>
          <w:p>
            <w:pPr>
              <w:spacing w:after="20"/>
              <w:ind w:left="20"/>
              <w:jc w:val="both"/>
            </w:pPr>
            <w:r>
              <w:rPr>
                <w:rFonts w:ascii="Times New Roman"/>
                <w:b w:val="false"/>
                <w:i w:val="false"/>
                <w:color w:val="000000"/>
                <w:sz w:val="20"/>
              </w:rPr>
              <w:t>
нарушившее правила</w:t>
            </w:r>
          </w:p>
          <w:p>
            <w:pPr>
              <w:spacing w:after="20"/>
              <w:ind w:left="20"/>
              <w:jc w:val="both"/>
            </w:pPr>
            <w:r>
              <w:rPr>
                <w:rFonts w:ascii="Times New Roman"/>
                <w:b w:val="false"/>
                <w:i w:val="false"/>
                <w:color w:val="000000"/>
                <w:sz w:val="20"/>
              </w:rPr>
              <w:t>
конкуренции, не является</w:t>
            </w:r>
          </w:p>
          <w:p>
            <w:pPr>
              <w:spacing w:after="20"/>
              <w:ind w:left="20"/>
              <w:jc w:val="both"/>
            </w:pPr>
            <w:r>
              <w:rPr>
                <w:rFonts w:ascii="Times New Roman"/>
                <w:b w:val="false"/>
                <w:i w:val="false"/>
                <w:color w:val="000000"/>
                <w:sz w:val="20"/>
              </w:rPr>
              <w:t>
организатором</w:t>
            </w:r>
          </w:p>
          <w:p>
            <w:pPr>
              <w:spacing w:after="20"/>
              <w:ind w:left="20"/>
              <w:jc w:val="both"/>
            </w:pPr>
            <w:r>
              <w:rPr>
                <w:rFonts w:ascii="Times New Roman"/>
                <w:b w:val="false"/>
                <w:i w:val="false"/>
                <w:color w:val="000000"/>
                <w:sz w:val="20"/>
              </w:rPr>
              <w:t>
ограничивающих конкуренцию</w:t>
            </w:r>
          </w:p>
          <w:p>
            <w:pPr>
              <w:spacing w:after="20"/>
              <w:ind w:left="20"/>
              <w:jc w:val="both"/>
            </w:pPr>
            <w:r>
              <w:rPr>
                <w:rFonts w:ascii="Times New Roman"/>
                <w:b w:val="false"/>
                <w:i w:val="false"/>
                <w:color w:val="000000"/>
                <w:sz w:val="20"/>
              </w:rPr>
              <w:t>
соглашения или</w:t>
            </w:r>
          </w:p>
          <w:p>
            <w:pPr>
              <w:spacing w:after="20"/>
              <w:ind w:left="20"/>
              <w:jc w:val="both"/>
            </w:pPr>
            <w:r>
              <w:rPr>
                <w:rFonts w:ascii="Times New Roman"/>
                <w:b w:val="false"/>
                <w:i w:val="false"/>
                <w:color w:val="000000"/>
                <w:sz w:val="20"/>
              </w:rPr>
              <w:t>
согласованных действий и</w:t>
            </w:r>
          </w:p>
          <w:p>
            <w:pPr>
              <w:spacing w:after="20"/>
              <w:ind w:left="20"/>
              <w:jc w:val="both"/>
            </w:pPr>
            <w:r>
              <w:rPr>
                <w:rFonts w:ascii="Times New Roman"/>
                <w:b w:val="false"/>
                <w:i w:val="false"/>
                <w:color w:val="000000"/>
                <w:sz w:val="20"/>
              </w:rPr>
              <w:t>
(или) получило обязательные</w:t>
            </w:r>
          </w:p>
          <w:p>
            <w:pPr>
              <w:spacing w:after="20"/>
              <w:ind w:left="20"/>
              <w:jc w:val="both"/>
            </w:pPr>
            <w:r>
              <w:rPr>
                <w:rFonts w:ascii="Times New Roman"/>
                <w:b w:val="false"/>
                <w:i w:val="false"/>
                <w:color w:val="000000"/>
                <w:sz w:val="20"/>
              </w:rPr>
              <w:t>
для исполнения указания</w:t>
            </w:r>
          </w:p>
          <w:p>
            <w:pPr>
              <w:spacing w:after="20"/>
              <w:ind w:left="20"/>
              <w:jc w:val="both"/>
            </w:pPr>
            <w:r>
              <w:rPr>
                <w:rFonts w:ascii="Times New Roman"/>
                <w:b w:val="false"/>
                <w:i w:val="false"/>
                <w:color w:val="000000"/>
                <w:sz w:val="20"/>
              </w:rPr>
              <w:t>
участвовать в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Юридическое лицо, нарушившее правила конкуренции, не приступил к исполнению заключенного им ограничивающего конкуренцию соглашения путем добровольного отказа от противоправного поведения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Юридическое лицо, нарушившее правила конкуренции, не приступил к исполнению заключенного им ограничивающего конкуренцию соглашения по независящим от него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w:t>
            </w:r>
          </w:p>
          <w:p>
            <w:pPr>
              <w:spacing w:after="20"/>
              <w:ind w:left="20"/>
              <w:jc w:val="both"/>
            </w:pPr>
            <w:r>
              <w:rPr>
                <w:rFonts w:ascii="Times New Roman"/>
                <w:b w:val="false"/>
                <w:i w:val="false"/>
                <w:color w:val="000000"/>
                <w:sz w:val="20"/>
              </w:rPr>
              <w:t xml:space="preserve">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Иные действия правонарушителя, выразившиеся в содействии Комиссии в проведении расследования и рассмотрении дела о нарушении общих правил конкуренции на трансграничном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отягчающие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Повторное нарушение общих правил конкуренции на трансграничных рынках, если за совершение первого нарушения к правонарушителю уже была применена мера ответственности в виде штрафа в течение 1 года с даты окончания исполнения решения о назначении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 нарушения правонарушителем общих правил конкуренции составляет 1 год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юридическим лицом ограничивающих конкуренцию соглашений или согласованных действий, нарушающих правила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Методике расчета и порядку</w:t>
            </w:r>
            <w:r>
              <w:br/>
            </w:r>
            <w:r>
              <w:rPr>
                <w:rFonts w:ascii="Times New Roman"/>
                <w:b w:val="false"/>
                <w:i w:val="false"/>
                <w:color w:val="000000"/>
                <w:sz w:val="20"/>
              </w:rPr>
              <w:t>наложения штрафов за</w:t>
            </w:r>
            <w:r>
              <w:br/>
            </w:r>
            <w:r>
              <w:rPr>
                <w:rFonts w:ascii="Times New Roman"/>
                <w:b w:val="false"/>
                <w:i w:val="false"/>
                <w:color w:val="000000"/>
                <w:sz w:val="20"/>
              </w:rPr>
              <w:t>нарушение общих правил</w:t>
            </w:r>
            <w:r>
              <w:br/>
            </w:r>
            <w:r>
              <w:rPr>
                <w:rFonts w:ascii="Times New Roman"/>
                <w:b w:val="false"/>
                <w:i w:val="false"/>
                <w:color w:val="000000"/>
                <w:sz w:val="20"/>
              </w:rPr>
              <w:t>конкуренции на трансграничных рынках</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августа 2023 г. № 88)</w:t>
            </w:r>
          </w:p>
        </w:tc>
      </w:tr>
    </w:tbl>
    <w:bookmarkStart w:name="z63" w:id="60"/>
    <w:p>
      <w:pPr>
        <w:spacing w:after="0"/>
        <w:ind w:left="0"/>
        <w:jc w:val="left"/>
      </w:pPr>
      <w:r>
        <w:rPr>
          <w:rFonts w:ascii="Times New Roman"/>
          <w:b/>
          <w:i w:val="false"/>
          <w:color w:val="000000"/>
        </w:rPr>
        <w:t xml:space="preserve"> ПЕРЕЧЕНЬ</w:t>
      </w:r>
      <w:r>
        <w:br/>
      </w:r>
      <w:r>
        <w:rPr>
          <w:rFonts w:ascii="Times New Roman"/>
          <w:b/>
          <w:i w:val="false"/>
          <w:color w:val="000000"/>
        </w:rPr>
        <w:t>обстоятельств, смягчающих ответственность, и обстоятельств, отягчающих ответственность, учитываемых при расчете размера штрафов за непредставление или несвоевременное представление в Евразийскую экономическую комиссию сведений (информации) при реализации Евразийской экономической комиссией своих полномочий, предусмотренных разделом XVIII Договора о Евразийском экономическом союзе от 29 мая 2014 года и Протоколом об общих принципах и правилах конкуренции (приложение № 19 к указанному Договору), в том числе за непредставление сведений (информации) по требованию Евразийской экономической комиссии, а равно за представление в Евразийскую экономическую комиссию заведомо недостоверных сведений (информации) , а также за невыполнение, ненадлежащее выполнение или невыполнение в срок решений Евразийской экономической комиссии, обязывающих правонарушителя совершать определенные действия</w:t>
      </w:r>
    </w:p>
    <w:bookmarkEnd w:id="60"/>
    <w:p>
      <w:pPr>
        <w:spacing w:after="0"/>
        <w:ind w:left="0"/>
        <w:jc w:val="both"/>
      </w:pPr>
      <w:r>
        <w:rPr>
          <w:rFonts w:ascii="Times New Roman"/>
          <w:b w:val="false"/>
          <w:i w:val="false"/>
          <w:color w:val="ff0000"/>
          <w:sz w:val="28"/>
        </w:rPr>
        <w:t xml:space="preserve">
      Сноска. Приложение 2 - в редакции решения Совета Евразийской экономической комиссии от 29.08.2023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1"/>
          <w:p>
            <w:pPr>
              <w:spacing w:after="20"/>
              <w:ind w:left="20"/>
              <w:jc w:val="both"/>
            </w:pPr>
            <w:r>
              <w:rPr>
                <w:rFonts w:ascii="Times New Roman"/>
                <w:b w:val="false"/>
                <w:i w:val="false"/>
                <w:color w:val="000000"/>
                <w:sz w:val="20"/>
              </w:rPr>
              <w:t>
Весовой</w:t>
            </w:r>
          </w:p>
          <w:bookmarkEnd w:id="61"/>
          <w:p>
            <w:pPr>
              <w:spacing w:after="20"/>
              <w:ind w:left="20"/>
              <w:jc w:val="both"/>
            </w:pPr>
            <w:r>
              <w:rPr>
                <w:rFonts w:ascii="Times New Roman"/>
                <w:b w:val="false"/>
                <w:i w:val="false"/>
                <w:color w:val="000000"/>
                <w:sz w:val="20"/>
              </w:rPr>
              <w:t>
коэффициент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Обстоятельства, смягчающие ответственность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2"/>
          <w:p>
            <w:pPr>
              <w:spacing w:after="20"/>
              <w:ind w:left="20"/>
              <w:jc w:val="both"/>
            </w:pPr>
            <w:r>
              <w:rPr>
                <w:rFonts w:ascii="Times New Roman"/>
                <w:b w:val="false"/>
                <w:i w:val="false"/>
                <w:color w:val="000000"/>
                <w:sz w:val="20"/>
              </w:rPr>
              <w:t xml:space="preserve">
1. Непредставление или несвоевременное представление юридическим лицом, должностным лицом, индивидуальным предпринимателем или физическим лицом (далее – правонарушители) в Евразийскую экономическую комиссию (далее – Комиссия) сведений (информации) при реализации Комиссией своих полномочий, предусмотренных разделом XVIII </w:t>
            </w:r>
            <w:r>
              <w:rPr>
                <w:rFonts w:ascii="Times New Roman"/>
                <w:b w:val="false"/>
                <w:i w:val="false"/>
                <w:color w:val="000000"/>
                <w:sz w:val="20"/>
              </w:rPr>
              <w:t>Договора</w:t>
            </w:r>
            <w:r>
              <w:rPr>
                <w:rFonts w:ascii="Times New Roman"/>
                <w:b w:val="false"/>
                <w:i w:val="false"/>
                <w:color w:val="000000"/>
                <w:sz w:val="20"/>
              </w:rPr>
              <w:t xml:space="preserve"> о Евразийском экономическом союзе от 29 мая 2014 года (далее – Договор) и Протоколом об общих принципах и правилах конкуренции (</w:t>
            </w:r>
            <w:r>
              <w:rPr>
                <w:rFonts w:ascii="Times New Roman"/>
                <w:b w:val="false"/>
                <w:i w:val="false"/>
                <w:color w:val="000000"/>
                <w:sz w:val="20"/>
              </w:rPr>
              <w:t>приложение № 19</w:t>
            </w:r>
            <w:r>
              <w:rPr>
                <w:rFonts w:ascii="Times New Roman"/>
                <w:b w:val="false"/>
                <w:i w:val="false"/>
                <w:color w:val="000000"/>
                <w:sz w:val="20"/>
              </w:rPr>
              <w:t xml:space="preserve"> к Договору), в том числе непредставление сведений (информации) по требованию Комиссии (далее –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или невыполнение, ненадлежащее выполнение или невыполнение в срок решений Комиссии, обязывающих правонарушителя совершать определенные действия, впервые</w:t>
            </w:r>
          </w:p>
          <w:bookmarkEnd w:id="6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63"/>
          <w:p>
            <w:pPr>
              <w:spacing w:after="20"/>
              <w:ind w:left="20"/>
              <w:jc w:val="both"/>
            </w:pPr>
            <w:r>
              <w:rPr>
                <w:rFonts w:ascii="Times New Roman"/>
                <w:b w:val="false"/>
                <w:i w:val="false"/>
                <w:color w:val="000000"/>
                <w:sz w:val="20"/>
              </w:rPr>
              <w:t>
2. Добровольное прекращение противоправного поведения правонарушителем</w:t>
            </w:r>
          </w:p>
          <w:bookmarkEnd w:id="6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II. Обстоятельства, отягчающие ответственность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или повторное невыполнение, ненадлежащее выполнение или невыполнение в срок решений Комиссии, обязывающих правонарушителя совершать определенные действия, если за совершение первого нарушения к правонарушителю уже была применена мера ответственности в виде штрафа в течение 1 года с даты принятия решения по 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