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73b" w14:textId="420d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ввоза на таможенную
территорию Таможенного союза, вывоза с таможенной территории
Таможенного союза и транзита по таможенной территории Таможенного 
союза гражданского и служебного оружия, его основных (составных) 
частей и патронов к нему и в раздел 2.22 Единого перечня товаров, к 
которым применяются запреты или ограничения на ввоз или вывоз
государствами – членами Таможенного союза в рамках ЕврАзЭС в
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920.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гражданского и служебного оружия, его основных (составных) частей и патронов к нему (далее – Положение) и в раздел 2.22 Единого перечня товаров, к которым применяются запреты или ограничения на ввоз или вывоз государствами–членами Таможенного союза в рамках ЕврАзЭС в торговле с третьими странами,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8 пункта 12 Положения после запятой дополнить словами: «если иное не предусмотрено законодательством государства–члена Таможенного союза;».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12 Положения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временный ввоз и вывоз копий и реплик антикварного оружия физическими и юридическими лицами для участия в историко-культурных мероприятиях, если это предусмотрено законодательством государства–члена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копиями и репликами антикварного оружия понимаются: копии антикварного оружия – оружие, изготовленное по оригиналу либо чертежам образца антикварного оружия при условии точного или масштабного воспроизведения его конструкции, внешнего вида и художественной отделки, не включающие подлинные части антикварного или иных видов оружия; реплики антикварного оружия – оружие, изготовленное по оригиналу, чертежам либо описанию образца антикварного оружия с творческим варьированием конструкции, внешнего вида или художественной отделки, представляющее культурную ценность как образец художественного творчества и декоративно – прикладного искусства.».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2 Приложения № 1 к Положению слово «спортивные»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Графу «Код ТН ВЭД ТС» пункта 22 раздела 2.22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 дополнить кодом «9306 30 900 0».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