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98c6" w14:textId="a8f9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итоговом отчете по исполнению Поэтапного плана формирования Единого экономического пространства в отношении сфер естественных монополий (в секторальном (отраслевом) разрезе)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декабря 2013 года № 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итоговый 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Поэтапного плана формирования Единого экономического пространства в отношении сфер естественных монополий (в секторальном (отраслевом) разрезе).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 От Республики      От Республики           От Российской</w:t>
      </w:r>
      <w:r>
        <w:br/>
      </w:r>
      <w:r>
        <w:rPr>
          <w:rFonts w:ascii="Times New Roman"/>
          <w:b/>
          <w:i w:val="false"/>
          <w:color w:val="000000"/>
        </w:rPr>
        <w:t>
Беларусь           Казахстан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61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ИТОГОВЫЙ ОТЧЕТ</w:t>
      </w:r>
      <w:r>
        <w:br/>
      </w:r>
      <w:r>
        <w:rPr>
          <w:rFonts w:ascii="Times New Roman"/>
          <w:b/>
          <w:i w:val="false"/>
          <w:color w:val="000000"/>
        </w:rPr>
        <w:t>
по исполнению Поэтапного плана формирования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в отношении сфер естественных</w:t>
      </w:r>
      <w:r>
        <w:br/>
      </w:r>
      <w:r>
        <w:rPr>
          <w:rFonts w:ascii="Times New Roman"/>
          <w:b/>
          <w:i w:val="false"/>
          <w:color w:val="000000"/>
        </w:rPr>
        <w:t>
монополий (в секторальном (отраслевом) разрезе)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Поэтапный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экономического пространства в отношении сфер естественных монополий (в секторальном (отраслевом) разрезе), утвержденный Решением Коллегии Евразийской экономической комиссии от 5 февраля 2013 г. № 14 (далее - Поэтапный план), предусматривает исполнение 17 мероприятий, сгруппированных в 5 этапов, с конечным сроком выполнения в марте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мероприятий этапа 1 Поэтапного плана государствами - членами Таможенного союза и Единого экономического пространства (далее - государства-члены):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установлены критерии определения приоритетных сфер естественных монополий, подлежащих первоочередному сближению;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 сравнительный анализ сфер естественных монополий на предмет приоритетности;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сформирован перечень приоритетных сфер естественных монополий, подлежащих гармонизации.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мероприятий этапа 2 Поэтапного плана государствами-членами проведен анализ положений Соглашения о единых принципах и правилах регулирования деятельности субъектов естественных монополий от 9 декабря 2010 года (далее - Соглашение о естественных монополиях) и международных договоров в сфере естественных монополий на предмет обязательных (императивных) норм, которые отражаются в законодательстве государств-членов, и диспозитивных (вариативных, дополнительных) норм, которые могут быть отражены в законодательстве государств-членов с учетом страновой, отраслевой и иной специфики - сроков и условий реализации этапов формирования Единого экономического пространства в соответствии со следующими международными договорами: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регулировании доступа к услугам железнодорожного транспорта, включая основы тарифной политики,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об обеспечении доступа к услугам естественных монополий в сфере электроэнергетики, включая основы ценообразования и тарифной политики, от 19 ноября 2010 года (далее - Соглашение по электроэнергетике).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позиция государств-членов о необходимости имплементации в законодательство государств-членов Методологии осуществления межгосударственной передачи электроэнергии (мощности) между государствами - участниками Единого экономического пространства, являющейся приложением к Соглашению по электроэнергетике, а также понятий, используемых в Соглашении о регулировании доступа к услугам железнодорожного транспорта, включая основы тарифной политики, от 9 декабря 2010 года, не сформирована в связи с особенностями законодательства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на основе разработанной формы провели анализ законодательства государств-членов на предмет соответствия требованиям Соглашения о естественных монополиях с учетом положений отраслевых соглашений (этап 3 Поэтапного плана).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этапа 4 Поэтапного плана государствами-членами подготовлены предложения и обоснования по гармонизации своего законодательства в области регулирования деятельности субъектов естественных монополий, в частности, по внесению в нормативные правовые акты государств-членов изменений, в том числе направленных на распространение лучшей практики регулирования и (или) контроля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 Евразийская экономическая комиссия направила государствам-членам предложения по гармонизации законодательства в области регулирования деятельности субъектов естественных монополий в части системы раскрытия информации, энергоэффективности и экологических аспектов.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работы в рамках этапа 5 Поэтапного плана государствами-членами сформирован перечень нормативных правовых актов государств-членов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взаимодействия Евразийской экономической комиссии и уполномоченных органов государств-членов по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 Решением Совета Евразийской экономической комиссии от 24 октября 2013 г. № 73 утвержден Порядок согласования Евразийской экономической комиссией с государствами -членами Таможенного союза и Единого экономического пространства (национальными уполномоченными органами государств-членов) отчетов, материалов, информации, а также иных документов, касающихся сфер естественных монополий.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