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f6a4" w14:textId="7c8f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Перечне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марта 2013 года № 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Перечне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514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«____» __________ 2013 г.     №                 г. Москва    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Перечне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Коллегии Евразийской экономической комиссии,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Государствам – членам Таможенного союза и Единого экономического пространства, исходя из согласованных подходов в отношении объемов ввоза, уровня ставок ввозных таможенных пошлин и экономической значимости товара согласно приложению, в месячный срок представить в Евразийскую экономическую комиссию предложения по сокращению </w:t>
      </w:r>
      <w:r>
        <w:rPr>
          <w:rFonts w:ascii="Times New Roman"/>
          <w:b w:val="false"/>
          <w:i w:val="false"/>
          <w:color w:val="000000"/>
          <w:sz w:val="28"/>
        </w:rPr>
        <w:t>Перечня чувствительных товаров</w:t>
      </w:r>
      <w:r>
        <w:rPr>
          <w:rFonts w:ascii="Times New Roman"/>
          <w:b w:val="false"/>
          <w:i w:val="false"/>
          <w:color w:val="000000"/>
          <w:sz w:val="28"/>
        </w:rPr>
        <w:t>, в отношении которых решение об изменении ставки ввозной таможенной пошлины принимается Советом Евразийской экономической комиссии, утвержденного Решением Межгосударственного Совета Евразийского экономического сообщества (Высшего органа Таможенного союза) от 27 ноября 2009 г. №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в месячный срок со дня представления предложений,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обобщить их и внести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0"/>
        <w:gridCol w:w="4195"/>
        <w:gridCol w:w="4565"/>
      </w:tblGrid>
      <w:tr>
        <w:trPr>
          <w:trHeight w:val="345" w:hRule="atLeast"/>
        </w:trPr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45" w:hRule="atLeast"/>
        </w:trPr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«___» __________ 2013 г. № ___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СОГЛАСОВАННЫЕ ПОДХОДЫ</w:t>
      </w:r>
      <w:r>
        <w:br/>
      </w:r>
      <w:r>
        <w:rPr>
          <w:rFonts w:ascii="Times New Roman"/>
          <w:b/>
          <w:i w:val="false"/>
          <w:color w:val="000000"/>
        </w:rPr>
        <w:t>
при подготовке предложений по сокращению Перечня чувствительных</w:t>
      </w:r>
      <w:r>
        <w:br/>
      </w:r>
      <w:r>
        <w:rPr>
          <w:rFonts w:ascii="Times New Roman"/>
          <w:b/>
          <w:i w:val="false"/>
          <w:color w:val="000000"/>
        </w:rPr>
        <w:t>
товаров, в отношении которых решение об изменении ставки</w:t>
      </w:r>
      <w:r>
        <w:br/>
      </w:r>
      <w:r>
        <w:rPr>
          <w:rFonts w:ascii="Times New Roman"/>
          <w:b/>
          <w:i w:val="false"/>
          <w:color w:val="000000"/>
        </w:rPr>
        <w:t>
ввозной таможенной пошлины принимается Советом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комиссии, в отношении объемов ввоза, уровня</w:t>
      </w:r>
      <w:r>
        <w:br/>
      </w:r>
      <w:r>
        <w:rPr>
          <w:rFonts w:ascii="Times New Roman"/>
          <w:b/>
          <w:i w:val="false"/>
          <w:color w:val="000000"/>
        </w:rPr>
        <w:t>
ставок ввозных таможенных пошлин и экономической значимости</w:t>
      </w:r>
      <w:r>
        <w:br/>
      </w:r>
      <w:r>
        <w:rPr>
          <w:rFonts w:ascii="Times New Roman"/>
          <w:b/>
          <w:i w:val="false"/>
          <w:color w:val="000000"/>
        </w:rPr>
        <w:t>
товара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Товары, облагаемые ставками ввозных таможенных пошлин Единого таможенного тарифа Таможенного союза в размере от 0 до 5 процентов от таможенной стоимости, с годовым объемом импорта на единую таможенную территорию Таможенного союза менее 1 млн. долларов США, подлежат исключению из Перечня чувствительных товаров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Рассмотреть по позиционно целесообразность исключения из Перечня товаров, облагаемых ставками ввозных таможенных пошлин Единого таможенного тарифа Таможенного союза в размере от 5 до 10 процентов от таможенной стоимости, с годовым объемом импорта на единую таможенную территорию Таможенного союза менее 1 млн.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Рассмотреть целесообразность исключения из Перечня товаров, в отношении которых обязательства перед Всемирной торговой организацией по конечным уровням связывания установлены в размере от 0 до 5 процентов от таможенной стоимости, исходя из учета их экономической значимости.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пунктов 1-3 сохранить в Перечне товары, ввозимые на единую таможенную территорию Таможенного союза, в отношении которых установлены тарифные квоты, а также товары, предназначенные для промышленной сборки моторных транспортных средств.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