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65da7a" w14:textId="b65da7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решения Совета Евразийской экономической комиссии "О проекте решения Высшего Евразийского экономического совета "Об основных ориентирах макроэкономической политики государств – членов Таможенного союза и Единого экономического пространства на 2013 – 2014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14 мая 2013 года № 101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Во исполнение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Соглашения о согласованной макроэкономической политике от 9 декабря 2010 года и в соответствии с  </w:t>
      </w:r>
      <w:r>
        <w:rPr>
          <w:rFonts w:ascii="Times New Roman"/>
          <w:b w:val="false"/>
          <w:i w:val="false"/>
          <w:color w:val="000000"/>
          <w:sz w:val="28"/>
        </w:rPr>
        <w:t>Регламентом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работы Евразийской экономической комиссии, утвержденным Решением Высшего Евразийского экономического совета от 18 ноября 2011 г. № 1,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Одобрить </w:t>
      </w:r>
      <w:r>
        <w:rPr>
          <w:rFonts w:ascii="Times New Roman"/>
          <w:b w:val="false"/>
          <w:i w:val="false"/>
          <w:color w:val="000000"/>
          <w:sz w:val="28"/>
        </w:rPr>
        <w:t>проект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Совета Евразийской экономической комиссии «О проекте решения Высшего Евразийского экономического совета «Об основных ориентирах макроэкономической политики государств – членов Таможенного союза и Единого экономического пространства на 2013 – 2014 годы» (прилагается) и внести его для рассмотрения на очередном заседании Совета Евразийской экономической комиссии.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Коллегии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Евразийской экономической комиссии         В. Христенко</w:t>
      </w:r>
    </w:p>
    <w:bookmarkStart w:name="z3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 проекте решения Высшего Евразийского экономического совета «Об основных ориентирах макроэкономической политики государств – членов Таможенного союза и Единого экономического пространства на 2013 – 2014 годы»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Во исполнение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Соглашения о согласованной макроэкономической политике от 9 декабря 2010 года и в соответствии с  </w:t>
      </w:r>
      <w:r>
        <w:rPr>
          <w:rFonts w:ascii="Times New Roman"/>
          <w:b w:val="false"/>
          <w:i w:val="false"/>
          <w:color w:val="000000"/>
          <w:sz w:val="28"/>
        </w:rPr>
        <w:t>Регламентом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работы Евразийской экономической комиссии, утвержденным Решением Высшего Евразийского экономического совета от 18 ноября 2011 г. № 1, Совет Евразийской экономической комиссии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Одобрить разработанный по согласованию с государствами – членами Таможенного союза и Единого экономического пространства проект решения Высшего Евразийского экономического совета «Об основных ориентирах макроэкономической политики государств – членов Таможенного союза и Единого экономического пространствана 2013–2014 годы» (прилагается) и внести его для рассмотрения на очередном заседании Высшего Евразийского экономического совета на уровне глав государств.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Члены Совета Евразийской экономической комиссии: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93"/>
        <w:gridCol w:w="4093"/>
        <w:gridCol w:w="3953"/>
      </w:tblGrid>
      <w:tr>
        <w:trPr>
          <w:trHeight w:val="270" w:hRule="atLeast"/>
        </w:trPr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Российской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Федерации</w:t>
            </w:r>
          </w:p>
        </w:tc>
      </w:tr>
      <w:tr>
        <w:trPr>
          <w:trHeight w:val="270" w:hRule="atLeast"/>
        </w:trPr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Румас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Келимбетов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Шувалов</w:t>
            </w:r>
          </w:p>
        </w:tc>
      </w:tr>
    </w:tbl>
    <w:bookmarkStart w:name="z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Об основных ориентирах макроэкономической политики </w:t>
      </w:r>
      <w:r>
        <w:br/>
      </w:r>
      <w:r>
        <w:rPr>
          <w:rFonts w:ascii="Times New Roman"/>
          <w:b/>
          <w:i w:val="false"/>
          <w:color w:val="000000"/>
        </w:rPr>
        <w:t>
государств – членов Таможенного союза и Единого экономического</w:t>
      </w:r>
      <w:r>
        <w:br/>
      </w:r>
      <w:r>
        <w:rPr>
          <w:rFonts w:ascii="Times New Roman"/>
          <w:b/>
          <w:i w:val="false"/>
          <w:color w:val="000000"/>
        </w:rPr>
        <w:t>
пространства на 2013 – 2014 годы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Высший Евразийский экономический совет на уровне глав государств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Одобрить прилагаемые основные ориентиры макроэкономической политики государств – членов Таможенного союза и Единого экономического пространства на 2013–2014 годы.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Рекомендовать правительствам государств – членов Таможенного союза и Единого экономического пространства учитывать при проведении макроэкономической политики одобренные настоящим Решением основные ориентиры макроэкономической политики государств – членов Таможенного союза и Единого экономического пространства на 2013 – 2014 годы.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Евразийской экономической комиссии проводить мониторинг мер, предпринимаемых государствами – членами Таможенного союза и Единого экономического пространства в области макроэкономической политики, и оценивать соответствие таких мер одобренным настоящим Решением основным ориентирам макроэкономической политики государств – членов Таможенного союза и Единого экономического пространства на 2013 – 2014 годы.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71"/>
        <w:gridCol w:w="4172"/>
        <w:gridCol w:w="4030"/>
      </w:tblGrid>
      <w:tr>
        <w:trPr>
          <w:trHeight w:val="27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Члены Высшего Евразийского экономического совета:</w:t>
            </w:r>
          </w:p>
        </w:tc>
      </w:tr>
      <w:tr>
        <w:trPr>
          <w:trHeight w:val="270" w:hRule="atLeast"/>
        </w:trPr>
        <w:tc>
          <w:tcPr>
            <w:tcW w:w="4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4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4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Российской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Федерации</w:t>
            </w:r>
          </w:p>
        </w:tc>
      </w:tr>
    </w:tbl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ОДОБРЕНЫ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Решением Высшего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Евразийского экономического совета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29 мая 2013 г. № ___     </w:t>
      </w:r>
    </w:p>
    <w:bookmarkEnd w:id="4"/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ОСНОВНЫЕ ОРИЕНТИРЫ</w:t>
      </w:r>
      <w:r>
        <w:br/>
      </w:r>
      <w:r>
        <w:rPr>
          <w:rFonts w:ascii="Times New Roman"/>
          <w:b/>
          <w:i w:val="false"/>
          <w:color w:val="000000"/>
        </w:rPr>
        <w:t>
макроэкономической политики государств – членов Таможенного</w:t>
      </w:r>
      <w:r>
        <w:br/>
      </w:r>
      <w:r>
        <w:rPr>
          <w:rFonts w:ascii="Times New Roman"/>
          <w:b/>
          <w:i w:val="false"/>
          <w:color w:val="000000"/>
        </w:rPr>
        <w:t>
союза и Единого экономического пространства на 2013 – 2014 годы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Основные ориентиры макроэкономической политики государств – членов Таможенного союза и Единого экономического пространства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(далее – государства-члены) на 2013 – 2014 годы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Соглашением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согласованной макроэкономической политике от 9 декабря 2010 года (далее – Соглашение) и определяют кратко- и среднесрочные ориентиры, направленные на решение задач, наиболее остро стоящих перед экономиками государств-членов, а также на минимизацию влияния негативных факторов на их устойчивое экономическое развитие и реализацию положительного экономического эффекта функционирования Единого экономического пространства.</w:t>
      </w:r>
    </w:p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I. Итоги анализа социально-экономического развития государств-членов в 2012 году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Развитие экономик государств-членов происходит в условиях достаточно сложной ситуации в мировой экономике. Прирост валового внутреннего продукта (ВВП) в 2012 году в целом по Таможенному союзу и Единому экономическому пространству составил 3,5 %, тогда как мировой валовый внутренний продукт увеличился на 3,2 % (по оценкам Международного валютного фонда), в том числе в странах ОЭСР – на 1,4 %, в США – на 2,3 %, в странах зоны евро – снизился на 0,4 %.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условиях существенного замедления роста мировой торговли до 2,8 % темпы прироста взаимной торговли в рамках Таможенного союза и Единого экономического пространства за счет снятия внутренних барьеров составили в 2012 году 8,7 % при росте торговли с третьими странами на 3,2 %. В частности, отмечается динамичный рост взаимной торговли машинами, оборудованием и транспортными средствами, а также продовольственными товарами.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Вместе с тем экономический рост государств-членов пока является неустойчивым. В целом по Таможенному союзу и Единому экономическому пространству отмечается замедление темпов прироста ВВП до 3,5 %, объемов производства промышленной продукции – до 2,5 %, перевозок грузов – до 5,2 % (в Республике Беларусь – снижение на 2,3 %), инвестиций в основной капитал – до 5,8 % (в Республике Беларусь – снижение на 9,8 %), а также снижение объемов производства сельскохозяйственной продукции на 5,6 %, связанное с неблагоприятными погодными условиями (в Республике Беларусь – рост на 6,1 %).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Снижение темпов экономического роста в зоне евро, замедление темпов прироста экономик Китая и США привели к ослаблению внешнего спроса и, как следствие, к замедлению темпов прироста экспорта государств-членов до 2,6 %. На снижение физических объемов экспорта газа в Казахстане на 8,8 % и в России на 8,7 % помимо снижения спроса в странах-импортерах также повлияло развитие новых технологий добычи сланцевого газа и производства сжиженного газа, которые начинают применяться все более активно.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Недостаточное развитие товарной структуры экспорта государств-членов (доля минеральных продуктов составляет 72,4 % общего объема экспорта Таможенного союза и Единого экономического пространства, в том числе в Беларуси – 55,9 %, в Казахстане – 77,9 %, в России – 72,4 %) и географической структуры экспорта государств-членов (на долю Европейского союза, Китая, государств – участников СНГ, США и Японии приходится около 80 % объема внешней торговли Таможенного союза и Единого экономического пространства) повышает имеющуюся зависимость национальных экономик от конъюнктуры внешних рынков и темпов экономического развития государств – основных торговых партнеров.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Изменение доли экспорта продукции обрабатывающих отраслей имеет тенденцию к снижению и находится в Беларуси на уровне 47,8 %, в Казахстане – 18,6 % и России – 38,4 % в общем объеме экспорта. Одновременно доля продукции обрабатывающих отраслей в импорте государств-членов остается достаточно высокой. Около трети импорта каждого из государств-членов составляют машины и оборудование, примерно пятая часть приходится на средства наземного транспорта и около 16 % – на продукцию химической промышленности.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Устойчивость национальных экономик и бюджетная стабильность обеспечиваются в основном за счет нефтегазового сектора. При профиците консолидированного бюджета Республики Казахстан в размере 8,5 % ВВП ненефтегазовый дефицит в 2012 году составил 7,2 % ВВП. Ненефтегазовый дефицит консолидированного бюджета Российской Федерации составил 10,6 % ВВП за тот же период.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более точной оценки перспектив устойчивого развития экономик государств-членов в кратко- и среднесрочном периодах необходим анализ внешних рисков и внутренних ограничений, учет которых при проведении национальных экономических политик позволит снизить их негативное влияние на экономики государств-членов.</w:t>
      </w:r>
    </w:p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II. Основные внешние риски и внутренние ограничения для устойчивого развития экономик государств-членов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условиях повышения открытости экономик государств-членов и более тесной их интеграции в мировые рынки товаров и капитала увеличивается влияние внешних факторов на экономическое развитие.</w:t>
      </w:r>
    </w:p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1. Снижение внешнего спроса на продукцию государств-членов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 2013 год прогнозируется сохранение слабого роста мировой экономики. Важным негативным аспектом, влияющим на устойчивое развитие государств-членов, является замедление темпов роста экономик основных торговых партнеров – стран Европейского союза, а также Китая и США. Риск стагнации в глобальной экономике порождает сокращение спроса и ужесточение конкуренции на рынках сбыта основных экспортных товаров государств-членов.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Увеличение предложения газового топлива и развитие новых технологий его добычи и производства могут приводить к изменению конфигурации сырьевых рынков.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Указанные факторы в совокупности создают риски стагнации экспорта товаров государств-членов, снижения доходов экспортеров и, соответственно, ресурсов, направляемых на развитие экономики.</w:t>
      </w:r>
    </w:p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2. Снижение мировых цен на энергоносители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Сохраняется высокая зависимость экономик государств-членов от конъюнктуры цен на мировых рынках энергоносителей в связи со значительной долей минеральных продуктов в общем объеме экспорта из Таможенного союза и Единого экономического пространства в третьи страны. Падение мировых цен на нефть и природный газ приведет к сокращению притока денежных средств в экономику, падению соответствующих доходов бюджетов.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Накопленные финансовые резервы в Республике Казахстан и Российской Федерации позволяют смягчить негативное воздействие на экономику от падения цен на энергоносители, но не дают возможность полностью нивелировать риск макроэкономической нестабильности. Данный риск в Российской Федерации оказывает, в свою очередь, большое влияние на перспективы устойчивого развития Республики Беларусь ввиду тесных экономических связей между этими государствами.</w:t>
      </w:r>
    </w:p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3. Нарастание дисбалансов в мировой финансовой системе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Накопленная избыточная ликвидность в мировой финансовой системе, с одной стороны, и ожидаемый рост регулятивного вмешательства государств, с другой стороны, создают условия для высокой изменчивости потоков капитала. Кроме того, складываются условия для проведения некоторыми государствами политики количественного смягчения, нацеленной в отдельных случаях на ослабление курсов их национальных валют с целью получения дополнительных преимуществ во внешнеторговой деятельности, что негативно скажется на конкурентоспособности продукции государств-членов.</w:t>
      </w:r>
    </w:p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4. Внутренние ограничения устойчивого экономического роста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государствах-членах особо актуален вопрос создания новых моделей экономического роста за счет структурных преобразований и использования преимуществ формирующегося нового технологического уклада.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Достижение целей модернизации экономики возможно при устранении внутренних ограничений роста. К таким ограничениям относятся, в частности, невысокая производительность труда, низкая конкурентоспособность производимой продукции, недостаточное развитие финансового сектора и использование внутренних источников инвестиций, не отвечающие потребностям экономик, неразвитая географическая структура экспорта, высокий физический и моральный износ инфраструктуры и основных фондов, слабое использование транспортного потенциала, а также недостаточный уровень конкуренции.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Сохранение указанных ограничений не позволит в среднесрочной перспективе обеспечить макроэкономическую устойчивость и высокие темпы экономического роста.</w:t>
      </w:r>
    </w:p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5. Недостаточное использование интеграционного потенциала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Формирование Таможенного союза и Единого экономического пространства призвано дать дополнительные возможности для экономического развития государств-членов за счет более рационального использования ресурсов, улучшения территориального разделения труда, диверсификации экономик, формирования межстрановых производственных цепочек внутри Единого экономического пространства, а также за счет совместного развития инфраструктуры, реализации транспортного, в том числе транзитного, потенциала и создания эффективно функционирующего общего рынка товаров, услуг, капиталов и рабочей силы.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Такие возможности пока реализуются в недостаточной степени. Отсутствие интеграционной составляющей развития экономик государств-членов снижает потенциал устойчивого экономического роста.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Прогнозные оценки Международного валютного фонда и Всемирного банка в отношении перспектив развития экономик государств-членов предполагают дальнейшее снижение темпов роста экономики интеграционного объединения в 2013 году. Более высокие темпы могут быть достигнуты при условии эффективной поддержки внутренних источников экономического роста, в том числе за счет реализации интеграционного потенциала.</w:t>
      </w:r>
    </w:p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III. Основные ориентиры макроэкономической политики Единого экономического пространства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Последовательное снятие внутренних барьеров и ослабление ограничений экономического роста, включая проведение структурных преобразований и стимулирование приоритетного развития обрабатывающих секторов, будут способствовать снижению зависимости экономик государств-членов от внешних негативных факторов.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Развитие интеграционных процессов в рамках Единого экономического пространства создает дополнительные возможности для устойчивого развития и повышения темпов экономического роста.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реализации поставленной цели в среднесрочной перспективе определяются следующие основные ориентиры макроэкономической политики государств-членов: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поддержание макроэкономической устойчивости;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создание условий для стабильного экономического роста;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развитие кредитно-финансовой системы.</w:t>
      </w:r>
    </w:p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1. Поддержание макроэкономической устойчивости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Макроэкономическая устойчивость государств-членов является основным условием для успешного динамичного развития национальных экономик.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Соглашением о согласованной макроэкономической политике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9 декабря 2010 года предусмотрено соблюдение государствами-членами следующих количественных параметров, определяющих устойчивость экономического развития: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годовой дефицит государственного бюджета (для Российской Федерации – федерального бюджета, для Республики Беларусь – республиканского бюджета, для Республики Казахстан – республиканского бюджета) – не выше 3 процентов ВВП;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государственный долг – не выше 50 процентов ВВП;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уровень инфляции (индекс потребительских цен в среднегодовом выражении), не превышающий более чем на 5 процентных пунктов уровень инфляции государства-члена, имеющего наименьший рост цен.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Мониторинг макроэкономических показателей, определяющих устойчивость экономического развития, показал, что в 2012 году в основном все государства-члены придерживались установленных количественных значений, за исключением Республики Беларусь, в которой инфляция была выше установленного значения, а также Республики Казахстан, где значение дефицита республиканского бюджета, по предварительным данным, достигло предельного значения 3,0 % ВВП.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среднесрочной перспективе для обеспечения макроэкономической устойчивости государств-членов необходимо: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предпринимать действия по соблюдению показателей, характеризующих устойчивость экономического развития;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выработать подходы к проведению согласованных и совместных действий государств-членов в случае нарастания угрозы экономического кризиса;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увеличивать доходную часть государственного бюджета, в том числе за счет расширения налоговой базы отдельных налогов, усиления контроля за соблюдением налогового законодательства, сокращения неэффективных налоговых льгот и преференций;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проводить сбалансированную политику формирования расходной части государственного бюджета путем исключения неэффективных расходов и повышения контроля за осуществлением бюджетных расходов;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целях снижения уровня инфляции проводить рациональную денежно-кредитную политику и политику в отношении регулируемых цен и тарифов.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Решение поставленных задач будет способствовать обеспечению макроэкономической стабильности в государствах-членах.</w:t>
      </w:r>
    </w:p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2. Создание условий для стабильного экономического роста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Создание условий для стабильного экономического роста предполагает реализацию следующих приоритетных направлений: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углубление сотрудничества в реальном секторе экономики в целях повышения его конкурентоспособности;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улучшение условий торговли и развитие внешнеторговых отношений;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развитие транспортной инфраструктуры и реализация транзитного потенциала Единого экономического пространства;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развитие конкурентной среды и улучшение делового климата.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Углубление сотрудничества в реальном секторе в целях повышения его конкурентоспособности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Важнейшим элементом обеспечения устойчивого развития экономик государств-членов в среднесрочной перспективе должно стать развитие ненефтегазового сектора, в том числе за счет повышения эффективности использования национальных ресурсов путем усиления кооперации производства и использования преимуществ интеграционного сотрудничества.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Однако эта задача является долгосрочной, в связи с чем повышение эффективности нефтегазового сектора экономики продолжает оставаться актуальным.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реализации интеграционных преимуществ и повышения конкурентоспособности реальных секторов экономик государств-членов необходимо: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выработать принципы и подходы к проведению согласованной промышленной и агропромышленной политики в рамках Таможенного союза и Единого экономического пространства;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создать условия для финансовой поддержки реальных секторов экономик, в том числе за счет формирования новых механизмов привлечения финансовых средств, снижения налоговой нагрузки на реальные сектора экономик, внедрения инструментов налогового стимулирования (инвестиционные преференции, специальные экономические зоны), предоставления гарантий и страхования инвестиций;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создать условия для углубления кооперации и развития взаимодополняемости реальных секторов экономик государств-членов с учетом их конкурентных преимуществ в целях развития высокотехнологичных производств конкурентоспособной продукции и достижения синергетического эффекта за счет интеграции;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унифицировать подходы государств-членов к предоставлению промышленных субсидий;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стимулировать инновационное развитие промышленного и агропромышленного производства и переходить к использованию новейших технологий.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Реализация совокупности указанных действий будет способствовать повышению эффективности промышленного и агропромышленного производства за счет более рационального использования факторов производства, расширения интеграционного сотрудничества и использования конкурентных преимуществ государств-членов.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Улучшение условий торговли и развитие внешнеторговых отношений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Решение задачи развития обрабатывающих отраслей во многом зависит от наличия рынков сбыта их продукции. Создание условий для географической диверсификации экспортных поставок и повышение уровня переработки экспортируемой продукции могут придать мощный импульс развитию экономик государств-членов.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этих целях необходимо: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стимулировать развитие торговли с государствами – участниками СНГ в рамках Договора о зоне свободной торговли от 18 ноября 2011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проводить предварительный анализ возможных преимуществ и издержек для экономик государств-членов при заключении соглашений о свободной торговле с третьими странами;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упрощать административные процедуры в сфере торговли;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стимулировать формирование объединений производителей, экспортирующих одноименную продукцию на внешние рынки;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диверсифицировать и повышать эффективность государственной поддержки экспорта производимой продукции;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продолжить работу по отмене технических и административных барьеров в торговле между государствами-членами.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Улучшение условий торговли и развитие внешнеторговых отношений будут способствовать росту объемов и совершенствованию товарной и географической структуры внешней торговли, сокращению временных затрат на прохождение таможенных процедур и стимулированию взаимной торговли государств-членов.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Развитие транспортной инфраструктуры и реализация транзитного потенциала Единого экономического пространства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Развитие реального сектора экономики, внутрирегиональной и международной торговли обусловливает потребность в форсированном развитии транспортной инфраструктуры.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Особенность географического положения государств-членов, связывающих два крупнейших мировых рынка – Европы и Азии, предоставляет широкие возможности для эффективного использования государствами-членами своего транзитного потенциала.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связи с этим особую роль в рамках Таможенного союза и Единого экономического пространства приобретают развитие транспортных коридоров и создание логистических центров и транспортных объединений, обеспечивающих оптимизацию процессов перевозки грузов, а также контроль за всеми операциями, осуществляемыми на пути следования грузов, с использованием современных информационных технологий.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решения поставленных задач необходимо: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выработать принципы и подходы к проведению согласованной транспортной политики в рамках Таможенного союза и Единого экономического пространства;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развивать систему международных транспортных коридоров;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содействовать объединению железнодорожных активов государств-членов, задействованных в транзитных перевозках крупнотоннажных контейнеров;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развивать транспортно-таможенные технологии, информационные системы, ускоряющие доставку грузов;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внедрять интеллектуальные транспортные системы, в том числе на основе глобальной навигационной спутниковой системы ГЛОНАСС.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Развитие транспортной инфраструктуры и реализация транзитного потенциала Единого экономического пространства будут способствовать созданию евразийской транспортной сети, включению государств-членов в систему международных транспортных коридоров, а также использованию их транзитного потенциала.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Развитие конкурентной среды и улучшение делового климата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целях создания благоприятных условий для развития предпринимательства, повышения качества и снижения стоимости производимой продукции необходимо формирование и развитие конкурентной среды.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обеспечения свободы экономической деятельности и эффективного функционирования товарных рынков на единой таможенной территории государств-членов необходимо: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внедрять процедуру оценки регулирующего воздействия принимаемых нормативных правовых актов на предмет наличия в них излишних административных барьеров для ведения предпринимательской деятельности в государствах-членах по унифицированным правилам;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внедрять в лицензионно-разрешительные системы государств-членов практику снижения административных барьеров для бизнеса и улучшения предпринимательской среды, в том числе путем упрощения процедуры получения лицензий, увеличения количества видов деятельности, требующих уведомительного порядка, за счет снижения количества видов деятельности, требующих разрешительного порядка, сокращения количества лицензионно-разрешительных документов, в том числе в связи со вступлением в силу технических регламентов Таможенного союза, а также взаимного признания лицензий, выданных уполномоченными органами государств-членов;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приступить к разработке единой методики тарифообразования в сферах естественных монополий.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Создание и развитие конкурентной среды будут способствовать снижению административных барьеров для бизнеса, улучшению предпринимательской среды, обеспечению равных условий доступа на товарные рынки Таможенного союза и Единого экономического пространства для предпринимателей всех государств-членов, снижению темпов роста тарифов на услуги естественных монополий, улучшению и сближению позиций государств-членов в рейтинге группы Всемирного банка «Doing Business».</w:t>
      </w:r>
    </w:p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3. Развитие кредитно-финансовой системы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Решение задачи инновационного развития реального сектора экономики невозможно без развития кредитно-финансовой системы государств-членов.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целью развития финансовых рынков, привлечения инвестиций и расширения использования национальных валют необходимо: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согласовывать подходы к развитию и регулированию финансовых рынков государств-членов на основе применения лучших международных практик;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создавать условия для расширения использования национальных валют во внешнеэкономической деятельности государств-членов;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продолжить работу по снятию ограничений на движение капитала в рамках Таможенного союза и Единого экономического пространства;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создавать условия для мобилизации внутренних источников инвестиций, включая развитие частно-государственного партнерства.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Развитие кредитно-финансовой системы будет способствовать повышению устойчивости развития и функционирования финансового рынка, снижению валютных рисков, обеспечению свободы движения капитала, повышению транспарентности экономик, расширению внутренних источников финансирования.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Последовательная реализация всех ориентиров макроэкономической политики позволит обеспечить устойчивый экономический рост в среднесрочной перспективе за счет снижения внутренних ограничений роста и зависимости экономик государств-членов от внешних факторов.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