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7dd92" w14:textId="147dd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 внесении изменений в Решение Совета Евразийской экономической комиссии от 14 марта 2013 г. № 16"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13 августа 2013 года № 167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Приняв к сведению информацию члена Коллегии (Министра) по энергетике и инфраструктуре Евразийской экономической комиссии Ахметова Д.К., Коллегия Евразийской экономической комиссии 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Одобрить прилагаемый проект решения Совета Евразийской экономической комиссии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марта 2013 г. № 16» и внести его для рассмотрения на очередном заседании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Врио Председателя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Евразийской экономической комиссии                      Т. Валовая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ЕВРАЗИЙСКАЯ ЭКОНОМИЧЕСКАЯ КОМИССИЯ СОВЕТ  РЕШЕНИЕ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3"/>
        <w:gridCol w:w="1633"/>
        <w:gridCol w:w="5573"/>
      </w:tblGrid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     »             2013 г.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Москва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Решение Совета Евразийской экономической</w:t>
      </w:r>
      <w:r>
        <w:br/>
      </w:r>
      <w:r>
        <w:rPr>
          <w:rFonts w:ascii="Times New Roman"/>
          <w:b/>
          <w:i w:val="false"/>
          <w:color w:val="000000"/>
        </w:rPr>
        <w:t>
комиссии от 14 марта 2013 г. №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Регламентом работы Евразийской экономической комиссии, утвержденным Решением Высшего Евразийского экономического совета от 18 ноября 2011 г. № 1, и приняв к сведению информацию Коллегии Евразийской экономической комиссии, Совет Евразийской экономической комиссии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Внести в Решение Совета Евразийской экономической комиссии от 14 марта 2013 г. № 16 «О реализации Соглашения о регулировании доступа к услугам железнодорожного транспорта, включая основы тарифной политики от 9 декабря 2010 года»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 пунктах 1 и 2 слово «правительств» заменить словом «государств»;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 преамбуле прилагаемого проекта решения Высшего Евразийского экономического совета «О реализации Соглашения о регулировании доступа к услугам железнодорожного транспорта, включая основы тарифной политики от 9 декабря 2010 года» слово «правительств» заменить словом «государств».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3"/>
        <w:gridCol w:w="4153"/>
        <w:gridCol w:w="4153"/>
      </w:tblGrid>
      <w:tr>
        <w:trPr>
          <w:trHeight w:val="111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