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ce42" w14:textId="c0ec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15 октября 2013 года № 223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25 сентября 2013 г. № 42 «Об изменении Решения Коллегии Евразийской экономической комиссии от 25 июня 2013 г. № 143» и на основании доклада Департамента защиты внутреннего рынка Евразийской экономической комиссии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Внести в решения Коллегии Евразийской экономической комиссии изменения согласно приложению.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Евразийской экономической комиссии                      В. Христенко</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15 октября 2013 г. № 223   </w:t>
      </w:r>
    </w:p>
    <w:bookmarkEnd w:id="1"/>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решения Коллегии Евразийской экономической комиссии</w:t>
      </w:r>
    </w:p>
    <w:bookmarkStart w:name="z5" w:id="2"/>
    <w:p>
      <w:pPr>
        <w:spacing w:after="0"/>
        <w:ind w:left="0"/>
        <w:jc w:val="both"/>
      </w:pPr>
      <w:r>
        <w:rPr>
          <w:rFonts w:ascii="Times New Roman"/>
          <w:b w:val="false"/>
          <w:i w:val="false"/>
          <w:color w:val="000000"/>
          <w:sz w:val="28"/>
        </w:rPr>
        <w:t>
      1. В </w:t>
      </w:r>
      <w:r>
        <w:rPr>
          <w:rFonts w:ascii="Times New Roman"/>
          <w:b w:val="false"/>
          <w:i w:val="false"/>
          <w:color w:val="000000"/>
          <w:sz w:val="28"/>
        </w:rPr>
        <w:t>разделе 2.29</w:t>
      </w:r>
      <w:r>
        <w:rPr>
          <w:rFonts w:ascii="Times New Roman"/>
          <w:b w:val="false"/>
          <w:i w:val="false"/>
          <w:color w:val="000000"/>
          <w:sz w:val="28"/>
        </w:rPr>
        <w:t xml:space="preserve">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Решением Коллегии Евразийской экономической комиссии от 16 августа 2012 г. № 134 «О нормативных правовых актах в области нетарифного регулирования»:</w:t>
      </w:r>
      <w:r>
        <w:br/>
      </w:r>
      <w:r>
        <w:rPr>
          <w:rFonts w:ascii="Times New Roman"/>
          <w:b w:val="false"/>
          <w:i w:val="false"/>
          <w:color w:val="000000"/>
          <w:sz w:val="28"/>
        </w:rPr>
        <w:t>
      а) таблицу дополнить позицией следующего содержания:</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3"/>
        <w:gridCol w:w="3293"/>
      </w:tblGrid>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Зерноуборочные комбайны и модули</w:t>
            </w:r>
            <w:r>
              <w:br/>
            </w:r>
            <w:r>
              <w:rPr>
                <w:rFonts w:ascii="Times New Roman"/>
                <w:b w:val="false"/>
                <w:i w:val="false"/>
                <w:color w:val="000000"/>
                <w:sz w:val="20"/>
              </w:rPr>
              <w:t>
зерноуборочных комбайнов, состоящие по</w:t>
            </w:r>
            <w:r>
              <w:br/>
            </w:r>
            <w:r>
              <w:rPr>
                <w:rFonts w:ascii="Times New Roman"/>
                <w:b w:val="false"/>
                <w:i w:val="false"/>
                <w:color w:val="000000"/>
                <w:sz w:val="20"/>
              </w:rPr>
              <w:t>
крайней мере из молотильно-сепарирующего</w:t>
            </w:r>
            <w:r>
              <w:br/>
            </w:r>
            <w:r>
              <w:rPr>
                <w:rFonts w:ascii="Times New Roman"/>
                <w:b w:val="false"/>
                <w:i w:val="false"/>
                <w:color w:val="000000"/>
                <w:sz w:val="20"/>
              </w:rPr>
              <w:t>
устройства, оснащенного или не оснащенного</w:t>
            </w:r>
            <w:r>
              <w:br/>
            </w:r>
            <w:r>
              <w:rPr>
                <w:rFonts w:ascii="Times New Roman"/>
                <w:b w:val="false"/>
                <w:i w:val="false"/>
                <w:color w:val="000000"/>
                <w:sz w:val="20"/>
              </w:rPr>
              <w:t>
молотильным барабаном, системы очистки и</w:t>
            </w:r>
            <w:r>
              <w:br/>
            </w:r>
            <w:r>
              <w:rPr>
                <w:rFonts w:ascii="Times New Roman"/>
                <w:b w:val="false"/>
                <w:i w:val="false"/>
                <w:color w:val="000000"/>
                <w:sz w:val="20"/>
              </w:rPr>
              <w:t>
двигателя, установленных на несущем основании</w:t>
            </w:r>
            <w:r>
              <w:br/>
            </w:r>
            <w:r>
              <w:rPr>
                <w:rFonts w:ascii="Times New Roman"/>
                <w:b w:val="false"/>
                <w:i w:val="false"/>
                <w:color w:val="000000"/>
                <w:sz w:val="20"/>
              </w:rPr>
              <w:t>
или раме-шасси, предусматривающих установку</w:t>
            </w:r>
            <w:r>
              <w:br/>
            </w:r>
            <w:r>
              <w:rPr>
                <w:rFonts w:ascii="Times New Roman"/>
                <w:b w:val="false"/>
                <w:i w:val="false"/>
                <w:color w:val="000000"/>
                <w:sz w:val="20"/>
              </w:rPr>
              <w:t>
мостов, колес или гусениц**</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8433 51 000 1 </w:t>
            </w:r>
            <w:r>
              <w:br/>
            </w:r>
            <w:r>
              <w:rPr>
                <w:rFonts w:ascii="Times New Roman"/>
                <w:b w:val="false"/>
                <w:i w:val="false"/>
                <w:color w:val="000000"/>
                <w:sz w:val="20"/>
              </w:rPr>
              <w:t>
8433 51 000 9</w:t>
            </w:r>
            <w:r>
              <w:br/>
            </w:r>
            <w:r>
              <w:rPr>
                <w:rFonts w:ascii="Times New Roman"/>
                <w:b w:val="false"/>
                <w:i w:val="false"/>
                <w:color w:val="000000"/>
                <w:sz w:val="20"/>
              </w:rPr>
              <w:t>
8433 90 000 0</w:t>
            </w:r>
          </w:p>
        </w:tc>
      </w:tr>
    </w:tbl>
    <w:p>
      <w:pPr>
        <w:spacing w:after="0"/>
        <w:ind w:left="0"/>
        <w:jc w:val="both"/>
      </w:pP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б) дополнить сноской следующего содержания:</w:t>
      </w:r>
      <w:r>
        <w:br/>
      </w:r>
      <w:r>
        <w:rPr>
          <w:rFonts w:ascii="Times New Roman"/>
          <w:b w:val="false"/>
          <w:i w:val="false"/>
          <w:color w:val="000000"/>
          <w:sz w:val="28"/>
        </w:rPr>
        <w:t>
      «** Порядок применения и срок действия импортной квоты определены Решением Коллегии Евразийской экономической комиссии от 25 июня 2013 г. № 143 «О применении специальной защитной меры посредством введения импортной квоты в отношении зерноуборочных комбайнов и модулей зерноуборочных комбайнов».».</w:t>
      </w:r>
      <w:r>
        <w:br/>
      </w:r>
      <w:r>
        <w:rPr>
          <w:rFonts w:ascii="Times New Roman"/>
          <w:b w:val="false"/>
          <w:i w:val="false"/>
          <w:color w:val="000000"/>
          <w:sz w:val="28"/>
        </w:rPr>
        <w:t>
      2. В </w:t>
      </w:r>
      <w:r>
        <w:rPr>
          <w:rFonts w:ascii="Times New Roman"/>
          <w:b w:val="false"/>
          <w:i w:val="false"/>
          <w:color w:val="000000"/>
          <w:sz w:val="28"/>
        </w:rPr>
        <w:t>Решении</w:t>
      </w:r>
      <w:r>
        <w:rPr>
          <w:rFonts w:ascii="Times New Roman"/>
          <w:b w:val="false"/>
          <w:i w:val="false"/>
          <w:color w:val="000000"/>
          <w:sz w:val="28"/>
        </w:rPr>
        <w:t xml:space="preserve"> Коллегии Евразийской экономической комиссии от 25 июня 2013 г. № 143 «О применении специальной защитной меры посредством введения специальной пошлины в отношении зерноуборочных комбайнов и модулей зерноуборочных комбайнов, ввозимых на единую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а) в наименовании:</w:t>
      </w:r>
      <w:r>
        <w:br/>
      </w:r>
      <w:r>
        <w:rPr>
          <w:rFonts w:ascii="Times New Roman"/>
          <w:b w:val="false"/>
          <w:i w:val="false"/>
          <w:color w:val="000000"/>
          <w:sz w:val="28"/>
        </w:rPr>
        <w:t>
      слова «специальной пошлины» заменить словами «импортной квоты»;</w:t>
      </w:r>
      <w:r>
        <w:br/>
      </w:r>
      <w:r>
        <w:rPr>
          <w:rFonts w:ascii="Times New Roman"/>
          <w:b w:val="false"/>
          <w:i w:val="false"/>
          <w:color w:val="000000"/>
          <w:sz w:val="28"/>
        </w:rPr>
        <w:t>
      слова «, ввозимых на единую таможенную территорию Таможенного союза» исключить;</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пункте 1</w:t>
      </w:r>
      <w:r>
        <w:rPr>
          <w:rFonts w:ascii="Times New Roman"/>
          <w:b w:val="false"/>
          <w:i w:val="false"/>
          <w:color w:val="000000"/>
          <w:sz w:val="28"/>
        </w:rPr>
        <w:t xml:space="preserve"> слова «сроком по 14 марта 2016 г. включительно специальной пошлины в размерах согласно приложению в отношении ввозимых на единую таможенную территорию Таможенного союза» заменить словами «с 1 января 2014 г. по 21 августа 2016 г. включительно импортной квоты в объемах согласно приложению № 1 в отношении помещаемых под таможенные процедуры выпуска для внутреннего потребления и переработки для внутреннего потребления»;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пункты</w:t>
      </w:r>
      <w:r>
        <w:rPr>
          <w:rFonts w:ascii="Times New Roman"/>
          <w:b w:val="false"/>
          <w:i w:val="false"/>
          <w:color w:val="000000"/>
          <w:sz w:val="28"/>
        </w:rPr>
        <w:t xml:space="preserve"> 3 и 4 заменить пунктами 3 – 5 следующего содержания:</w:t>
      </w:r>
      <w:r>
        <w:br/>
      </w:r>
      <w:r>
        <w:rPr>
          <w:rFonts w:ascii="Times New Roman"/>
          <w:b w:val="false"/>
          <w:i w:val="false"/>
          <w:color w:val="000000"/>
          <w:sz w:val="28"/>
        </w:rPr>
        <w:t>
      «3. Государственным органам исполнительной власти Республики Беларусь, Республики Казахстан и Российской Федерации, уполномоченным на выдачу лицензий на импорт товаров:</w:t>
      </w:r>
      <w:r>
        <w:br/>
      </w:r>
      <w:r>
        <w:rPr>
          <w:rFonts w:ascii="Times New Roman"/>
          <w:b w:val="false"/>
          <w:i w:val="false"/>
          <w:color w:val="000000"/>
          <w:sz w:val="28"/>
        </w:rPr>
        <w:t>
      распределять объемы импортной квоты, введенной настоящим Решением, между участниками внешнеторговой деятельности в соответствии с методикой согласно приложению № 2;</w:t>
      </w:r>
      <w:r>
        <w:br/>
      </w:r>
      <w:r>
        <w:rPr>
          <w:rFonts w:ascii="Times New Roman"/>
          <w:b w:val="false"/>
          <w:i w:val="false"/>
          <w:color w:val="000000"/>
          <w:sz w:val="28"/>
        </w:rPr>
        <w:t>
      осуществлять выдачу лицензий на импорт товара, указанного в пункте 1 настоящего Решения.</w:t>
      </w:r>
      <w:r>
        <w:br/>
      </w:r>
      <w:r>
        <w:rPr>
          <w:rFonts w:ascii="Times New Roman"/>
          <w:b w:val="false"/>
          <w:i w:val="false"/>
          <w:color w:val="000000"/>
          <w:sz w:val="28"/>
        </w:rPr>
        <w:t>
      4. Государственному таможенному комитету Республики Беларусь, Комитету таможенного контроля Министерства финансов Республики Казахстан и Федеральной таможенной службе обеспечить осуществление зачета сумм предварительной специальной пошлины, уплаченной (взысканной) в соответствии с Решением Коллегии Евразийской экономической комиссии от 25 декабря 2012 г. № 289, в специальную пошлину и зачисление их на единый счет уполномоченного органа того государства – члена Таможенного союза и Единого экономического пространства, в котором они были уплачены (взысканы).</w:t>
      </w:r>
      <w:r>
        <w:br/>
      </w:r>
      <w:r>
        <w:rPr>
          <w:rFonts w:ascii="Times New Roman"/>
          <w:b w:val="false"/>
          <w:i w:val="false"/>
          <w:color w:val="000000"/>
          <w:sz w:val="28"/>
        </w:rPr>
        <w:t>
      5. Настоящее Решение вступает в силу с даты вступления в силу Решения Коллегии Евразийской экономической комиссии от 15 октября 2013 г. № 223.»;</w:t>
      </w:r>
      <w:r>
        <w:br/>
      </w:r>
      <w:r>
        <w:rPr>
          <w:rFonts w:ascii="Times New Roman"/>
          <w:b w:val="false"/>
          <w:i w:val="false"/>
          <w:color w:val="000000"/>
          <w:sz w:val="28"/>
        </w:rPr>
        <w:t>
</w:t>
      </w:r>
      <w:r>
        <w:rPr>
          <w:rFonts w:ascii="Times New Roman"/>
          <w:b w:val="false"/>
          <w:i w:val="false"/>
          <w:color w:val="000000"/>
          <w:sz w:val="28"/>
        </w:rPr>
        <w:t>
      г) </w:t>
      </w:r>
      <w:r>
        <w:rPr>
          <w:rFonts w:ascii="Times New Roman"/>
          <w:b w:val="false"/>
          <w:i w:val="false"/>
          <w:color w:val="000000"/>
          <w:sz w:val="28"/>
        </w:rPr>
        <w:t>приложение</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 дополнить приложениями № 1 и 2 следующего содержания:</w:t>
      </w:r>
    </w:p>
    <w:bookmarkEnd w:id="3"/>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25 июня 2013 г. № 143      </w:t>
      </w:r>
    </w:p>
    <w:p>
      <w:pPr>
        <w:spacing w:after="0"/>
        <w:ind w:left="0"/>
        <w:jc w:val="both"/>
      </w:pPr>
      <w:r>
        <w:rPr>
          <w:rFonts w:ascii="Times New Roman"/>
          <w:b w:val="false"/>
          <w:i w:val="false"/>
          <w:color w:val="000000"/>
          <w:sz w:val="28"/>
        </w:rPr>
        <w:t>                             </w:t>
      </w:r>
      <w:r>
        <w:rPr>
          <w:rFonts w:ascii="Times New Roman"/>
          <w:b/>
          <w:i w:val="false"/>
          <w:color w:val="000000"/>
          <w:sz w:val="28"/>
        </w:rPr>
        <w:t> ОБЪЕМЫ</w:t>
      </w:r>
      <w:r>
        <w:br/>
      </w:r>
      <w:r>
        <w:rPr>
          <w:rFonts w:ascii="Times New Roman"/>
          <w:b w:val="false"/>
          <w:i w:val="false"/>
          <w:color w:val="000000"/>
          <w:sz w:val="28"/>
        </w:rPr>
        <w:t>
</w:t>
      </w:r>
      <w:r>
        <w:rPr>
          <w:rFonts w:ascii="Times New Roman"/>
          <w:b/>
          <w:i w:val="false"/>
          <w:color w:val="000000"/>
          <w:sz w:val="28"/>
        </w:rPr>
        <w:t xml:space="preserve">         импортной квоты в отношении зерноуборочных комбайнов </w:t>
      </w:r>
      <w:r>
        <w:br/>
      </w:r>
      <w:r>
        <w:rPr>
          <w:rFonts w:ascii="Times New Roman"/>
          <w:b w:val="false"/>
          <w:i w:val="false"/>
          <w:color w:val="000000"/>
          <w:sz w:val="28"/>
        </w:rPr>
        <w:t>
</w:t>
      </w:r>
      <w:r>
        <w:rPr>
          <w:rFonts w:ascii="Times New Roman"/>
          <w:b/>
          <w:i w:val="false"/>
          <w:color w:val="000000"/>
          <w:sz w:val="28"/>
        </w:rPr>
        <w:t>                 и модулей зерноуборочных комбайнов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1"/>
        <w:gridCol w:w="2248"/>
        <w:gridCol w:w="2248"/>
        <w:gridCol w:w="2249"/>
      </w:tblGrid>
      <w:tr>
        <w:trPr>
          <w:trHeight w:val="510" w:hRule="atLeast"/>
        </w:trPr>
        <w:tc>
          <w:tcPr>
            <w:tcW w:w="5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 – член Таможенного союза и Единого экономического пространства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импортной квоты (штук)</w:t>
            </w:r>
          </w:p>
        </w:tc>
      </w:tr>
      <w:tr>
        <w:trPr>
          <w:trHeight w:val="510" w:hRule="atLeast"/>
        </w:trPr>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r>
      <w:tr>
        <w:trPr>
          <w:trHeight w:val="345"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45"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45"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bl>
    <w:p>
      <w:pPr>
        <w:spacing w:after="0"/>
        <w:ind w:left="0"/>
        <w:jc w:val="both"/>
      </w:pPr>
      <w:r>
        <w:rPr>
          <w:rFonts w:ascii="Times New Roman"/>
          <w:b w:val="false"/>
          <w:i w:val="false"/>
          <w:color w:val="000000"/>
          <w:sz w:val="28"/>
        </w:rPr>
        <w:t>Примечание. Объем импортной квоты на 2016 год установлен с учетом срока действия импортной квоты по 21 августа 2016 г. включительно. </w:t>
      </w:r>
    </w:p>
    <w:p>
      <w:pPr>
        <w:spacing w:after="0"/>
        <w:ind w:left="0"/>
        <w:jc w:val="both"/>
      </w:pPr>
      <w:r>
        <w:rPr>
          <w:rFonts w:ascii="Times New Roman"/>
          <w:b w:val="false"/>
          <w:i w:val="false"/>
          <w:color w:val="000000"/>
          <w:sz w:val="28"/>
        </w:rPr>
        <w:t xml:space="preserve">ПРИЛОЖЕНИЕ № 2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25 июня 2013 г. № 143       </w:t>
      </w:r>
    </w:p>
    <w:p>
      <w:pPr>
        <w:spacing w:after="0"/>
        <w:ind w:left="0"/>
        <w:jc w:val="left"/>
      </w:pPr>
      <w:r>
        <w:rPr>
          <w:rFonts w:ascii="Times New Roman"/>
          <w:b/>
          <w:i w:val="false"/>
          <w:color w:val="000000"/>
        </w:rPr>
        <w:t xml:space="preserve"> МЕТОДИКА</w:t>
      </w:r>
      <w:r>
        <w:br/>
      </w:r>
      <w:r>
        <w:rPr>
          <w:rFonts w:ascii="Times New Roman"/>
          <w:b/>
          <w:i w:val="false"/>
          <w:color w:val="000000"/>
        </w:rPr>
        <w:t>
распределения между участниками внешнеторговой деятельности</w:t>
      </w:r>
      <w:r>
        <w:br/>
      </w:r>
      <w:r>
        <w:rPr>
          <w:rFonts w:ascii="Times New Roman"/>
          <w:b/>
          <w:i w:val="false"/>
          <w:color w:val="000000"/>
        </w:rPr>
        <w:t>
объемов импортной квоты в отношении зерноуборочных комбайнов и</w:t>
      </w:r>
      <w:r>
        <w:br/>
      </w:r>
      <w:r>
        <w:rPr>
          <w:rFonts w:ascii="Times New Roman"/>
          <w:b/>
          <w:i w:val="false"/>
          <w:color w:val="000000"/>
        </w:rPr>
        <w:t>
модулей зерноуборочных комбайнов </w:t>
      </w:r>
    </w:p>
    <w:p>
      <w:pPr>
        <w:spacing w:after="0"/>
        <w:ind w:left="0"/>
        <w:jc w:val="both"/>
      </w:pPr>
      <w:r>
        <w:rPr>
          <w:rFonts w:ascii="Times New Roman"/>
          <w:b w:val="false"/>
          <w:i w:val="false"/>
          <w:color w:val="000000"/>
          <w:sz w:val="28"/>
        </w:rPr>
        <w:t>      1. Настоящая Методика разработана на основании статьи 7 Соглашения о применении специальных защитных, антидемпинговых и компенсационных мер по отношению к третьим странам от 25 января 2008 года и определяет правила применения импортной квоты, установленной Решением Коллегии Евразийской экономической комиссии от 25 июня 2013 г. № 143 в отношении зерноуборочных комбайнов и модулей зерноуборочных комбайнов, состоящих по крайней мере из молотильно-сепарирующего устройства, оснащенного или не оснащенного молотильным барабаном, системы очистки и двигателя, установленных на несущем основании или раме-шасси, предусматривающих установку мостов, колес или гусениц (далее – товар).</w:t>
      </w:r>
      <w:r>
        <w:br/>
      </w:r>
      <w:r>
        <w:rPr>
          <w:rFonts w:ascii="Times New Roman"/>
          <w:b w:val="false"/>
          <w:i w:val="false"/>
          <w:color w:val="000000"/>
          <w:sz w:val="28"/>
        </w:rPr>
        <w:t>
      2. Для получения объема импортной квоты в отношении товара участниками внешнеторговой деятельности в государственные органы исполнительной власти государств – членов Таможенного союза и Единого экономического пространства, уполномоченные на выдачу лицензий на импорт товаров (далее – уполномоченные органы), представляются следующие документы:</w:t>
      </w:r>
      <w:r>
        <w:br/>
      </w:r>
      <w:r>
        <w:rPr>
          <w:rFonts w:ascii="Times New Roman"/>
          <w:b w:val="false"/>
          <w:i w:val="false"/>
          <w:color w:val="000000"/>
          <w:sz w:val="28"/>
        </w:rPr>
        <w:t>
      заявка на получение объема импортной квоты с указанием количества товара (в штуках), предполагаемого к ввозу ими на единую таможенную территорию Таможенного союза в соответствующем календарном году (далее – заявка);</w:t>
      </w:r>
      <w:r>
        <w:br/>
      </w:r>
      <w:r>
        <w:rPr>
          <w:rFonts w:ascii="Times New Roman"/>
          <w:b w:val="false"/>
          <w:i w:val="false"/>
          <w:color w:val="000000"/>
          <w:sz w:val="28"/>
        </w:rPr>
        <w:t>
      копии внешнеторгового договора (контракта), приложений и (или) дополнений к нему, обосновывающих количество товара (в штуках), указанное в заявке;</w:t>
      </w:r>
      <w:r>
        <w:br/>
      </w:r>
      <w:r>
        <w:rPr>
          <w:rFonts w:ascii="Times New Roman"/>
          <w:b w:val="false"/>
          <w:i w:val="false"/>
          <w:color w:val="000000"/>
          <w:sz w:val="28"/>
        </w:rPr>
        <w:t>
      копия документа о постановке на учет в налоговом органе.</w:t>
      </w:r>
      <w:r>
        <w:br/>
      </w:r>
      <w:r>
        <w:rPr>
          <w:rFonts w:ascii="Times New Roman"/>
          <w:b w:val="false"/>
          <w:i w:val="false"/>
          <w:color w:val="000000"/>
          <w:sz w:val="28"/>
        </w:rPr>
        <w:t>
      Непредставление указанных документов либо представление неполных или недостоверных сведений являются основанием для отказа в выделении соответствующему участнику внешнеторговой деятельности объема импортной квоты.</w:t>
      </w:r>
      <w:r>
        <w:br/>
      </w:r>
      <w:r>
        <w:rPr>
          <w:rFonts w:ascii="Times New Roman"/>
          <w:b w:val="false"/>
          <w:i w:val="false"/>
          <w:color w:val="000000"/>
          <w:sz w:val="28"/>
        </w:rPr>
        <w:t>
      3. Заявки на 2014 год подаются в течение 30 календарных дней с даты вступления в силу Решения Коллегии Евразийской экономической комиссии от 25 июня 2013 г. № 143.</w:t>
      </w:r>
      <w:r>
        <w:br/>
      </w:r>
      <w:r>
        <w:rPr>
          <w:rFonts w:ascii="Times New Roman"/>
          <w:b w:val="false"/>
          <w:i w:val="false"/>
          <w:color w:val="000000"/>
          <w:sz w:val="28"/>
        </w:rPr>
        <w:t>
      4. Заявки на 2015 – 2016 годы подаются до 30 ноября года, предшествующего году, в течение которого предполагается ввоз товара на единую таможенную территорию Таможенного союза.</w:t>
      </w:r>
      <w:r>
        <w:br/>
      </w:r>
      <w:r>
        <w:rPr>
          <w:rFonts w:ascii="Times New Roman"/>
          <w:b w:val="false"/>
          <w:i w:val="false"/>
          <w:color w:val="000000"/>
          <w:sz w:val="28"/>
        </w:rPr>
        <w:t>
      5. Заявка, отозванная участником внешнеторговой деятельности до истечения срока подачи заявок, указанного в пункте 3 или пункте 4 настоящей Методики соответственно, считается неподанной.</w:t>
      </w:r>
      <w:r>
        <w:br/>
      </w:r>
      <w:r>
        <w:rPr>
          <w:rFonts w:ascii="Times New Roman"/>
          <w:b w:val="false"/>
          <w:i w:val="false"/>
          <w:color w:val="000000"/>
          <w:sz w:val="28"/>
        </w:rPr>
        <w:t>
      6. Объемы импортной квоты распределяются уполномоченными органами между участниками внешнеторговой деятельности, подавшими заявки, не позднее 10 рабочих дней с даты окончания срока подачи заявок, указанного в пункте 3 или пункте 4 настоящей Методики соответственно, в порядке, предусмотренном пунктами 7 и 8 настоящей Методики.</w:t>
      </w:r>
      <w:r>
        <w:br/>
      </w:r>
      <w:r>
        <w:rPr>
          <w:rFonts w:ascii="Times New Roman"/>
          <w:b w:val="false"/>
          <w:i w:val="false"/>
          <w:color w:val="000000"/>
          <w:sz w:val="28"/>
        </w:rPr>
        <w:t xml:space="preserve">
      7. В случае если совокупное количество товара (в штуках), указанное во всех заявках, поданных участниками внешнеторговой деятельности, превышает объем импортной квоты, установленный в приложении № 1 к Решению Коллегии Евразийской экономической комиссии от 25 июня 2013 г. № 143 для государства – члена Таможенного союза и Единого экономического пространства на соответствующий год, объем импортной квоты распределяется между такими участниками внешнеторговой деятельности на основании данных таможенной статистики пропорционально доли объема ввоза ими на территорию этого государства товара, помещенного под таможенные процедуры выпуска для внутреннего потребления или переработки для внутреннего потребления, в общем объеме ввоза на территорию этого государства товара, помещенного под таможенные процедуры выпуска для внутреннего потребления или переработки для внутреннего потребления, в течение расчетного периода. </w:t>
      </w:r>
      <w:r>
        <w:br/>
      </w:r>
      <w:r>
        <w:rPr>
          <w:rFonts w:ascii="Times New Roman"/>
          <w:b w:val="false"/>
          <w:i w:val="false"/>
          <w:color w:val="000000"/>
          <w:sz w:val="28"/>
        </w:rPr>
        <w:t xml:space="preserve">
      Под расчетным периодом понимаются: </w:t>
      </w:r>
      <w:r>
        <w:br/>
      </w:r>
      <w:r>
        <w:rPr>
          <w:rFonts w:ascii="Times New Roman"/>
          <w:b w:val="false"/>
          <w:i w:val="false"/>
          <w:color w:val="000000"/>
          <w:sz w:val="28"/>
        </w:rPr>
        <w:t xml:space="preserve">
      2010 – 2012 годы – при распределении импортной квоты на 2014 год; </w:t>
      </w:r>
      <w:r>
        <w:br/>
      </w:r>
      <w:r>
        <w:rPr>
          <w:rFonts w:ascii="Times New Roman"/>
          <w:b w:val="false"/>
          <w:i w:val="false"/>
          <w:color w:val="000000"/>
          <w:sz w:val="28"/>
        </w:rPr>
        <w:t>
      2011 – 2013 годы – при распределении импортной квоты на 2015 год;</w:t>
      </w:r>
      <w:r>
        <w:br/>
      </w:r>
      <w:r>
        <w:rPr>
          <w:rFonts w:ascii="Times New Roman"/>
          <w:b w:val="false"/>
          <w:i w:val="false"/>
          <w:color w:val="000000"/>
          <w:sz w:val="28"/>
        </w:rPr>
        <w:t xml:space="preserve">
      2012 – 2014 годы – при распределении импортной квоты на 2016 год. </w:t>
      </w:r>
      <w:r>
        <w:br/>
      </w:r>
      <w:r>
        <w:rPr>
          <w:rFonts w:ascii="Times New Roman"/>
          <w:b w:val="false"/>
          <w:i w:val="false"/>
          <w:color w:val="000000"/>
          <w:sz w:val="28"/>
        </w:rPr>
        <w:t>
      Объем импортной квоты, выделяемый участнику внешнеторговой деятельности, не может превышать количества товара (в штуках), указанного в заявке этого участника внешнеторговой деятельности.</w:t>
      </w:r>
      <w:r>
        <w:br/>
      </w:r>
      <w:r>
        <w:rPr>
          <w:rFonts w:ascii="Times New Roman"/>
          <w:b w:val="false"/>
          <w:i w:val="false"/>
          <w:color w:val="000000"/>
          <w:sz w:val="28"/>
        </w:rPr>
        <w:t>
      Для расчета объема импортной квоты, выделяемого участнику внешнеторговой деятельности в соответствующем году, используется следующая формула:</w:t>
      </w:r>
    </w:p>
    <w:p>
      <w:pPr>
        <w:spacing w:after="0"/>
        <w:ind w:left="0"/>
        <w:jc w:val="both"/>
      </w:pPr>
      <w:r>
        <w:rPr>
          <w:rFonts w:ascii="Times New Roman"/>
          <w:b w:val="false"/>
          <w:i w:val="false"/>
          <w:color w:val="000000"/>
          <w:sz w:val="28"/>
        </w:rPr>
        <w:t>V</w:t>
      </w:r>
      <w:r>
        <w:rPr>
          <w:rFonts w:ascii="Times New Roman"/>
          <w:b w:val="false"/>
          <w:i w:val="false"/>
          <w:color w:val="000000"/>
          <w:vertAlign w:val="subscript"/>
        </w:rPr>
        <w:t>i</w:t>
      </w:r>
      <w:r>
        <w:rPr>
          <w:rFonts w:ascii="Times New Roman"/>
          <w:b w:val="false"/>
          <w:i w:val="false"/>
          <w:color w:val="000000"/>
          <w:sz w:val="28"/>
        </w:rPr>
        <w:t xml:space="preserve"> = V</w:t>
      </w:r>
      <w:r>
        <w:rPr>
          <w:rFonts w:ascii="Times New Roman"/>
          <w:b w:val="false"/>
          <w:i w:val="false"/>
          <w:color w:val="000000"/>
          <w:vertAlign w:val="subscript"/>
        </w:rPr>
        <w:t>iучВТД</w:t>
      </w:r>
      <w:r>
        <w:rPr>
          <w:rFonts w:ascii="Times New Roman"/>
          <w:b w:val="false"/>
          <w:i w:val="false"/>
          <w:color w:val="000000"/>
          <w:sz w:val="28"/>
        </w:rPr>
        <w:t xml:space="preserve"> Х K</w:t>
      </w:r>
      <w:r>
        <w:rPr>
          <w:rFonts w:ascii="Times New Roman"/>
          <w:b w:val="false"/>
          <w:i w:val="false"/>
          <w:color w:val="000000"/>
          <w:vertAlign w:val="subscript"/>
        </w:rPr>
        <w:t>год</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объем импортной квоты, выделяемый i-му участнику внешнеторговой деятельности;</w:t>
      </w:r>
      <w:r>
        <w:br/>
      </w:r>
      <w:r>
        <w:rPr>
          <w:rFonts w:ascii="Times New Roman"/>
          <w:b w:val="false"/>
          <w:i w:val="false"/>
          <w:color w:val="000000"/>
          <w:sz w:val="28"/>
        </w:rPr>
        <w:t>
      V</w:t>
      </w:r>
      <w:r>
        <w:rPr>
          <w:rFonts w:ascii="Times New Roman"/>
          <w:b w:val="false"/>
          <w:i w:val="false"/>
          <w:color w:val="000000"/>
          <w:vertAlign w:val="subscript"/>
        </w:rPr>
        <w:t>iучВТД</w:t>
      </w:r>
      <w:r>
        <w:rPr>
          <w:rFonts w:ascii="Times New Roman"/>
          <w:b w:val="false"/>
          <w:i w:val="false"/>
          <w:color w:val="000000"/>
          <w:sz w:val="28"/>
        </w:rPr>
        <w:t xml:space="preserve"> – объем ввоза i-м участником внешнеторговой деятельности на территорию государства – члена Таможенного союза и Единого экономического пространства товара, помещенного под таможенные процедуры выпуска для внутреннего потребления или переработки для внутреннего потребления в течение расчетного периода;</w:t>
      </w:r>
      <w:r>
        <w:br/>
      </w:r>
      <w:r>
        <w:rPr>
          <w:rFonts w:ascii="Times New Roman"/>
          <w:b w:val="false"/>
          <w:i w:val="false"/>
          <w:color w:val="000000"/>
          <w:sz w:val="28"/>
        </w:rPr>
        <w:t>
      K</w:t>
      </w:r>
      <w:r>
        <w:rPr>
          <w:rFonts w:ascii="Times New Roman"/>
          <w:b w:val="false"/>
          <w:i w:val="false"/>
          <w:color w:val="000000"/>
          <w:vertAlign w:val="subscript"/>
        </w:rPr>
        <w:t>год</w:t>
      </w:r>
      <w:r>
        <w:rPr>
          <w:rFonts w:ascii="Times New Roman"/>
          <w:b w:val="false"/>
          <w:i w:val="false"/>
          <w:color w:val="000000"/>
          <w:sz w:val="28"/>
        </w:rPr>
        <w:t xml:space="preserve"> – ежегодный коэффициент изменения объема ввоза товара.</w:t>
      </w:r>
      <w:r>
        <w:br/>
      </w:r>
      <w:r>
        <w:rPr>
          <w:rFonts w:ascii="Times New Roman"/>
          <w:b w:val="false"/>
          <w:i w:val="false"/>
          <w:color w:val="000000"/>
          <w:sz w:val="28"/>
        </w:rPr>
        <w:t>
      К</w:t>
      </w:r>
      <w:r>
        <w:rPr>
          <w:rFonts w:ascii="Times New Roman"/>
          <w:b w:val="false"/>
          <w:i w:val="false"/>
          <w:color w:val="000000"/>
          <w:vertAlign w:val="subscript"/>
        </w:rPr>
        <w:t>год</w:t>
      </w:r>
      <w:r>
        <w:rPr>
          <w:rFonts w:ascii="Times New Roman"/>
          <w:b w:val="false"/>
          <w:i w:val="false"/>
          <w:color w:val="000000"/>
          <w:sz w:val="28"/>
        </w:rPr>
        <w:t xml:space="preserve"> рассчитывается по следующей формуле:</w:t>
      </w:r>
    </w:p>
    <w:p>
      <w:pPr>
        <w:spacing w:after="0"/>
        <w:ind w:left="0"/>
        <w:jc w:val="both"/>
      </w:pPr>
      <w:r>
        <w:rPr>
          <w:rFonts w:ascii="Times New Roman"/>
          <w:b w:val="false"/>
          <w:i w:val="false"/>
          <w:color w:val="000000"/>
          <w:sz w:val="28"/>
        </w:rPr>
        <w:t>K</w:t>
      </w:r>
      <w:r>
        <w:rPr>
          <w:rFonts w:ascii="Times New Roman"/>
          <w:b w:val="false"/>
          <w:i w:val="false"/>
          <w:color w:val="000000"/>
          <w:vertAlign w:val="subscript"/>
        </w:rPr>
        <w:t>год</w:t>
      </w:r>
      <w:r>
        <w:rPr>
          <w:rFonts w:ascii="Times New Roman"/>
          <w:b w:val="false"/>
          <w:i w:val="false"/>
          <w:color w:val="000000"/>
          <w:sz w:val="28"/>
        </w:rPr>
        <w:t xml:space="preserve"> = V</w:t>
      </w:r>
      <w:r>
        <w:rPr>
          <w:rFonts w:ascii="Times New Roman"/>
          <w:b w:val="false"/>
          <w:i w:val="false"/>
          <w:color w:val="000000"/>
          <w:vertAlign w:val="subscript"/>
        </w:rPr>
        <w:t>квоты</w:t>
      </w:r>
      <w:r>
        <w:rPr>
          <w:rFonts w:ascii="Times New Roman"/>
          <w:b w:val="false"/>
          <w:i w:val="false"/>
          <w:color w:val="000000"/>
          <w:sz w:val="28"/>
        </w:rPr>
        <w:t>/V</w:t>
      </w:r>
      <w:r>
        <w:rPr>
          <w:rFonts w:ascii="Times New Roman"/>
          <w:b w:val="false"/>
          <w:i w:val="false"/>
          <w:color w:val="000000"/>
          <w:vertAlign w:val="subscript"/>
        </w:rPr>
        <w:t>ввоза</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V</w:t>
      </w:r>
      <w:r>
        <w:rPr>
          <w:rFonts w:ascii="Times New Roman"/>
          <w:b w:val="false"/>
          <w:i w:val="false"/>
          <w:color w:val="000000"/>
          <w:vertAlign w:val="subscript"/>
        </w:rPr>
        <w:t>квоты</w:t>
      </w:r>
      <w:r>
        <w:rPr>
          <w:rFonts w:ascii="Times New Roman"/>
          <w:b w:val="false"/>
          <w:i w:val="false"/>
          <w:color w:val="000000"/>
          <w:sz w:val="28"/>
        </w:rPr>
        <w:t xml:space="preserve"> – общий объем импортной квоты, установленный в приложении № 1 к Решению Коллегии Евразийской экономической комиссии от 25 июня 2013 г. № 143 для государства – члена Таможенного союза и Единого экономического пространства на соответствующий год;</w:t>
      </w:r>
      <w:r>
        <w:br/>
      </w:r>
      <w:r>
        <w:rPr>
          <w:rFonts w:ascii="Times New Roman"/>
          <w:b w:val="false"/>
          <w:i w:val="false"/>
          <w:color w:val="000000"/>
          <w:sz w:val="28"/>
        </w:rPr>
        <w:t>
      V</w:t>
      </w:r>
      <w:r>
        <w:rPr>
          <w:rFonts w:ascii="Times New Roman"/>
          <w:b w:val="false"/>
          <w:i w:val="false"/>
          <w:color w:val="000000"/>
          <w:vertAlign w:val="subscript"/>
        </w:rPr>
        <w:t>ввоза</w:t>
      </w:r>
      <w:r>
        <w:rPr>
          <w:rFonts w:ascii="Times New Roman"/>
          <w:b w:val="false"/>
          <w:i w:val="false"/>
          <w:color w:val="000000"/>
          <w:sz w:val="28"/>
        </w:rPr>
        <w:t xml:space="preserve"> – объем ввоза всеми участниками внешнеторговой деятельности на территорию государства – члена Таможенного союза и Единого экономического пространства товара, помещенного под таможенные процедуры выпуска для внутреннего потребления или переработки для внутреннего потребления в течение расчетного периода.</w:t>
      </w:r>
      <w:r>
        <w:br/>
      </w:r>
      <w:r>
        <w:rPr>
          <w:rFonts w:ascii="Times New Roman"/>
          <w:b w:val="false"/>
          <w:i w:val="false"/>
          <w:color w:val="000000"/>
          <w:sz w:val="28"/>
        </w:rPr>
        <w:t>
      В случае если рассчитанный по указанным формулам объем импортной квоты, выделяемый участнику внешнеторговой деятельности, будет иметь дробные единицы, то расчетная величина устанавливается без учета дробных единиц.</w:t>
      </w:r>
      <w:r>
        <w:br/>
      </w:r>
      <w:r>
        <w:rPr>
          <w:rFonts w:ascii="Times New Roman"/>
          <w:b w:val="false"/>
          <w:i w:val="false"/>
          <w:color w:val="000000"/>
          <w:sz w:val="28"/>
        </w:rPr>
        <w:t>
      При этом, если в течение расчетного периода товар не помещался участником внешнеторговой деятельности под таможенные процедуры выпуска для внутреннего потребления или переработки для внутреннего потребления в соответствующем государстве – члене Таможенного союза и Единого экономического пространства, такому участнику внешнеторговой деятельности импортная квота не выделяется.</w:t>
      </w:r>
      <w:r>
        <w:br/>
      </w:r>
      <w:r>
        <w:rPr>
          <w:rFonts w:ascii="Times New Roman"/>
          <w:b w:val="false"/>
          <w:i w:val="false"/>
          <w:color w:val="000000"/>
          <w:sz w:val="28"/>
        </w:rPr>
        <w:t xml:space="preserve">
      8. В случае если совокупное количество товара (в штуках), указанное во всех заявках, поданных участниками внешнеторговой деятельности, не превышает объем импортной квоты, установленный в приложении № 1 к Решению Коллегии Евразийской экономической комиссии от 25 июня 2013 г. № 143 для государства – члена Таможенного союза и Единого экономического пространства на соответствующий год, объем импортной квоты распределяется между такими участниками внешнеторговой деятельности по количеству товара (в штуках), указанному в заявках. </w:t>
      </w:r>
      <w:r>
        <w:br/>
      </w:r>
      <w:r>
        <w:rPr>
          <w:rFonts w:ascii="Times New Roman"/>
          <w:b w:val="false"/>
          <w:i w:val="false"/>
          <w:color w:val="000000"/>
          <w:sz w:val="28"/>
        </w:rPr>
        <w:t>
      9. Уполномоченные органы обеспечивают публикацию на своих официальных сайтах в сети Интернет информации о наличии нераспределенного объема импортной квоты или о том, что объем импортной квоты был распределен полностью, в течение 30 календарных дней с даты окончания срока подачи заявок, указанного в пункте 3 или пункте 4 настоящей Методики соответственно.</w:t>
      </w:r>
      <w:r>
        <w:br/>
      </w:r>
      <w:r>
        <w:rPr>
          <w:rFonts w:ascii="Times New Roman"/>
          <w:b w:val="false"/>
          <w:i w:val="false"/>
          <w:color w:val="000000"/>
          <w:sz w:val="28"/>
        </w:rPr>
        <w:t xml:space="preserve">
      10. Для получения нераспределенного объема импортной квоты участниками внешнеторговой деятельности не позднее 1 июня года, в течение которого предполагается ввоз товара на единую таможенную территорию Таможенного союза, представляются в уполномоченные органы документы в соответствии с пунктом 2 настоящей Методики. </w:t>
      </w:r>
      <w:r>
        <w:br/>
      </w:r>
      <w:r>
        <w:rPr>
          <w:rFonts w:ascii="Times New Roman"/>
          <w:b w:val="false"/>
          <w:i w:val="false"/>
          <w:color w:val="000000"/>
          <w:sz w:val="28"/>
        </w:rPr>
        <w:t>
      11. Нераспределенный объем импортной квоты распределяется уполномоченными органами между участниками внешнеторговой деятельности, подавшими заявки, в течение 10 рабочих дней с даты окончания срока подачи заявок, указанного в пункте 10 настоящей Методики, в порядке, предусмотренном пунктами 7 и 8 настоящей Методики.</w:t>
      </w:r>
      <w:r>
        <w:br/>
      </w:r>
      <w:r>
        <w:rPr>
          <w:rFonts w:ascii="Times New Roman"/>
          <w:b w:val="false"/>
          <w:i w:val="false"/>
          <w:color w:val="000000"/>
          <w:sz w:val="28"/>
        </w:rPr>
        <w:t>
      12. Государства – члены Таможенного союза и Единого экономического пространства могут установить иные правила распределения между участниками внешнеторговой деятельности объема импортной квоты в отношении товара, обусловленные особенностями функционирования рынка товара на территории данного государства.».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