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1d36" w14:textId="b271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приоритетных для реализации общих процессов Таможенного союза и Единого экономического пространства (со сроками их реализации в интеграционном сегменте Евразийской экономической комиссии интегрированной информационной системы внешней и взаимной торговли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12 ноября 2013 года № 260. Утратило силу решением Коллегии Евразийской экономической комиссии от 14 апреля 2015 года № 29.</w:t>
      </w:r>
    </w:p>
    <w:p>
      <w:pPr>
        <w:spacing w:after="0"/>
        <w:ind w:left="0"/>
        <w:jc w:val="both"/>
      </w:pPr>
      <w:bookmarkStart w:name="z1" w:id="0"/>
      <w:r>
        <w:rPr>
          <w:rFonts w:ascii="Times New Roman"/>
          <w:b w:val="false"/>
          <w:i w:val="false"/>
          <w:color w:val="ff0000"/>
          <w:sz w:val="28"/>
        </w:rPr>
        <w:t xml:space="preserve">
      Сноска. Утратило силу решением Коллегии Евразийской экономической комиссии от 14.04.2015 </w:t>
      </w:r>
      <w:r>
        <w:rPr>
          <w:rFonts w:ascii="Times New Roman"/>
          <w:b w:val="false"/>
          <w:i w:val="false"/>
          <w:color w:val="ff0000"/>
          <w:sz w:val="28"/>
        </w:rPr>
        <w:t>№ 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Соглашения о создании, функционировании и развитии интегрированной информационной системы внешней и взаимной торговли Таможенного союза от 21 сентября 2010 года, Концепцией создания Интегрированной информационной системы внешней и взаимной торговли Таможенного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Межгосударственного Совета Евразийского экономического сообщества от 19 ноября 2010 г. № 60, и во исполнение плана мероприятий по созданию и развитию интегрированной информационной системы внешней и взаимной торговли Таможенного союза на 2013 – 2014 годы, утвержденного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 октября 2013 г. № 215,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приоритетных для реализации общих процессов Таможенного союза и Единого экономического пространства (со сроками их реализации в интеграционном сегменте Евразийской экономической комиссии интегрированной информационной системы внешней и взаимной торговли Таможенного союза).</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1"/>
    <w:tbl>
      <w:tblPr>
        <w:tblW w:w="0" w:type="auto"/>
        <w:tblCellSpacing w:w="0" w:type="auto"/>
        <w:tblBorders>
          <w:top w:val="none"/>
          <w:left w:val="none"/>
          <w:bottom w:val="none"/>
          <w:right w:val="none"/>
          <w:insideH w:val="none"/>
          <w:insideV w:val="none"/>
        </w:tblBorders>
      </w:tblPr>
      <w:tblGrid>
        <w:gridCol w:w="7603"/>
        <w:gridCol w:w="6397"/>
      </w:tblGrid>
      <w:tr>
        <w:trPr>
          <w:trHeight w:val="30" w:hRule="atLeast"/>
        </w:trPr>
        <w:tc>
          <w:tcPr>
            <w:tcW w:w="76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Председатель Коллегии Евразийской</w:t>
            </w:r>
            <w:r>
              <w:br/>
            </w:r>
            <w:r>
              <w:rPr>
                <w:rFonts w:ascii="Times New Roman"/>
                <w:b w:val="false"/>
                <w:i w:val="false"/>
                <w:color w:val="000000"/>
                <w:sz w:val="20"/>
              </w:rPr>
              <w:t>
</w:t>
            </w:r>
            <w:r>
              <w:rPr>
                <w:rFonts w:ascii="Times New Roman"/>
                <w:b w:val="false"/>
                <w:i/>
                <w:color w:val="000000"/>
                <w:sz w:val="20"/>
              </w:rPr>
              <w:t>экономической комиссии</w:t>
            </w:r>
          </w:p>
        </w:tc>
        <w:tc>
          <w:tcPr>
            <w:tcW w:w="63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Христенко</w:t>
            </w:r>
          </w:p>
        </w:tc>
      </w:tr>
    </w:tbl>
    <w:bookmarkStart w:name="z4"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12 ноября 2013 г. № 260    </w:t>
      </w:r>
    </w:p>
    <w:bookmarkEnd w:id="2"/>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приоритетных для реализации общих процессов</w:t>
      </w:r>
      <w:r>
        <w:br/>
      </w:r>
      <w:r>
        <w:rPr>
          <w:rFonts w:ascii="Times New Roman"/>
          <w:b w:val="false"/>
          <w:i w:val="false"/>
          <w:color w:val="000000"/>
          <w:sz w:val="28"/>
        </w:rPr>
        <w:t>
</w:t>
      </w:r>
      <w:r>
        <w:rPr>
          <w:rFonts w:ascii="Times New Roman"/>
          <w:b/>
          <w:i w:val="false"/>
          <w:color w:val="000000"/>
          <w:sz w:val="28"/>
        </w:rPr>
        <w:t>                Таможенного союза и Единого экономического</w:t>
      </w:r>
      <w:r>
        <w:br/>
      </w:r>
      <w:r>
        <w:rPr>
          <w:rFonts w:ascii="Times New Roman"/>
          <w:b w:val="false"/>
          <w:i w:val="false"/>
          <w:color w:val="000000"/>
          <w:sz w:val="28"/>
        </w:rPr>
        <w:t>
</w:t>
      </w:r>
      <w:r>
        <w:rPr>
          <w:rFonts w:ascii="Times New Roman"/>
          <w:b/>
          <w:i w:val="false"/>
          <w:color w:val="000000"/>
          <w:sz w:val="28"/>
        </w:rPr>
        <w:t>                  пространства(со сроками их реализации в</w:t>
      </w:r>
      <w:r>
        <w:br/>
      </w:r>
      <w:r>
        <w:rPr>
          <w:rFonts w:ascii="Times New Roman"/>
          <w:b w:val="false"/>
          <w:i w:val="false"/>
          <w:color w:val="000000"/>
          <w:sz w:val="28"/>
        </w:rPr>
        <w:t>
</w:t>
      </w:r>
      <w:r>
        <w:rPr>
          <w:rFonts w:ascii="Times New Roman"/>
          <w:b/>
          <w:i w:val="false"/>
          <w:color w:val="000000"/>
          <w:sz w:val="28"/>
        </w:rPr>
        <w:t>                     интеграционном сегменте Евразийской</w:t>
      </w:r>
      <w:r>
        <w:br/>
      </w:r>
      <w:r>
        <w:rPr>
          <w:rFonts w:ascii="Times New Roman"/>
          <w:b w:val="false"/>
          <w:i w:val="false"/>
          <w:color w:val="000000"/>
          <w:sz w:val="28"/>
        </w:rPr>
        <w:t>
</w:t>
      </w:r>
      <w:r>
        <w:rPr>
          <w:rFonts w:ascii="Times New Roman"/>
          <w:b/>
          <w:i w:val="false"/>
          <w:color w:val="000000"/>
          <w:sz w:val="28"/>
        </w:rPr>
        <w:t>                    экономической комиссии интегрированной</w:t>
      </w:r>
      <w:r>
        <w:br/>
      </w:r>
      <w:r>
        <w:rPr>
          <w:rFonts w:ascii="Times New Roman"/>
          <w:b w:val="false"/>
          <w:i w:val="false"/>
          <w:color w:val="000000"/>
          <w:sz w:val="28"/>
        </w:rPr>
        <w:t>
</w:t>
      </w:r>
      <w:r>
        <w:rPr>
          <w:rFonts w:ascii="Times New Roman"/>
          <w:b/>
          <w:i w:val="false"/>
          <w:color w:val="000000"/>
          <w:sz w:val="28"/>
        </w:rPr>
        <w:t>                   информационной системы внешней и взаимной</w:t>
      </w:r>
      <w:r>
        <w:br/>
      </w:r>
      <w:r>
        <w:rPr>
          <w:rFonts w:ascii="Times New Roman"/>
          <w:b w:val="false"/>
          <w:i w:val="false"/>
          <w:color w:val="000000"/>
          <w:sz w:val="28"/>
        </w:rPr>
        <w:t>
</w:t>
      </w:r>
      <w:r>
        <w:rPr>
          <w:rFonts w:ascii="Times New Roman"/>
          <w:b/>
          <w:i w:val="false"/>
          <w:color w:val="000000"/>
          <w:sz w:val="28"/>
        </w:rPr>
        <w:t>                          торговли Таможенного союза)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7"/>
        <w:gridCol w:w="2263"/>
      </w:tblGrid>
      <w:tr>
        <w:trPr>
          <w:trHeight w:val="30" w:hRule="atLeast"/>
        </w:trPr>
        <w:tc>
          <w:tcPr>
            <w:tcW w:w="1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p>
        </w:tc>
      </w:tr>
      <w:tr>
        <w:trPr>
          <w:trHeight w:val="30" w:hRule="atLeast"/>
        </w:trPr>
        <w:tc>
          <w:tcPr>
            <w:tcW w:w="1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Borders>
          <w:top w:val="none"/>
          <w:left w:val="none"/>
          <w:bottom w:val="none"/>
          <w:right w:val="none"/>
          <w:insideH w:val="none"/>
          <w:insideV w:val="none"/>
        </w:tblBorders>
      </w:tblPr>
      <w:tblGrid>
        <w:gridCol w:w="11737"/>
        <w:gridCol w:w="2263"/>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Использование баз данных документов,</w:t>
            </w:r>
            <w:r>
              <w:br/>
            </w:r>
            <w:r>
              <w:rPr>
                <w:rFonts w:ascii="Times New Roman"/>
                <w:b w:val="false"/>
                <w:i w:val="false"/>
                <w:color w:val="000000"/>
                <w:sz w:val="20"/>
              </w:rPr>
              <w:t>
</w:t>
            </w:r>
            <w:r>
              <w:rPr>
                <w:rFonts w:ascii="Times New Roman"/>
                <w:b w:val="false"/>
                <w:i w:val="false"/>
                <w:color w:val="000000"/>
                <w:sz w:val="20"/>
              </w:rPr>
              <w:t>выдаваемых уполномоченными органами государств – членов</w:t>
            </w:r>
            <w:r>
              <w:br/>
            </w:r>
            <w:r>
              <w:rPr>
                <w:rFonts w:ascii="Times New Roman"/>
                <w:b w:val="false"/>
                <w:i w:val="false"/>
                <w:color w:val="000000"/>
                <w:sz w:val="20"/>
              </w:rPr>
              <w:t>
</w:t>
            </w:r>
            <w:r>
              <w:rPr>
                <w:rFonts w:ascii="Times New Roman"/>
                <w:b w:val="false"/>
                <w:i w:val="false"/>
                <w:color w:val="000000"/>
                <w:sz w:val="20"/>
              </w:rPr>
              <w:t>Таможенного союза и Единого экономического пространства</w:t>
            </w:r>
            <w:r>
              <w:br/>
            </w:r>
            <w:r>
              <w:rPr>
                <w:rFonts w:ascii="Times New Roman"/>
                <w:b w:val="false"/>
                <w:i w:val="false"/>
                <w:color w:val="000000"/>
                <w:sz w:val="20"/>
              </w:rPr>
              <w:t>
</w:t>
            </w:r>
            <w:r>
              <w:rPr>
                <w:rFonts w:ascii="Times New Roman"/>
                <w:b w:val="false"/>
                <w:i w:val="false"/>
                <w:color w:val="000000"/>
                <w:sz w:val="20"/>
              </w:rPr>
              <w:t xml:space="preserve">(«разрешительные документы»), </w:t>
            </w:r>
            <w:r>
              <w:rPr>
                <w:rFonts w:ascii="Times New Roman"/>
                <w:b w:val="false"/>
                <w:i w:val="false"/>
                <w:color w:val="000000"/>
                <w:sz w:val="20"/>
              </w:rPr>
              <w:t>при регулировании внешней и взаимной торговли</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Использование баз данных документов, выдаваемых уполномоченными органами государств – членов Таможенного союза и Единого экономического пространства, при регулировании внешней и взаимной торговли</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Формирование, ведение и использование общих</w:t>
            </w:r>
            <w:r>
              <w:br/>
            </w:r>
            <w:r>
              <w:rPr>
                <w:rFonts w:ascii="Times New Roman"/>
                <w:b w:val="false"/>
                <w:i w:val="false"/>
                <w:color w:val="000000"/>
                <w:sz w:val="20"/>
              </w:rPr>
              <w:t>
</w:t>
            </w:r>
            <w:r>
              <w:rPr>
                <w:rFonts w:ascii="Times New Roman"/>
                <w:b w:val="false"/>
                <w:i w:val="false"/>
                <w:color w:val="000000"/>
                <w:sz w:val="20"/>
              </w:rPr>
              <w:t xml:space="preserve">информационных ресурсов </w:t>
            </w:r>
            <w:r>
              <w:rPr>
                <w:rFonts w:ascii="Times New Roman"/>
                <w:b w:val="false"/>
                <w:i w:val="false"/>
                <w:color w:val="000000"/>
                <w:sz w:val="20"/>
              </w:rPr>
              <w:t>(реестров, перечней, классификаторов)</w:t>
            </w:r>
            <w:r>
              <w:br/>
            </w:r>
            <w:r>
              <w:rPr>
                <w:rFonts w:ascii="Times New Roman"/>
                <w:b w:val="false"/>
                <w:i w:val="false"/>
                <w:color w:val="000000"/>
                <w:sz w:val="20"/>
              </w:rPr>
              <w:t>
</w:t>
            </w:r>
            <w:r>
              <w:rPr>
                <w:rFonts w:ascii="Times New Roman"/>
                <w:b w:val="false"/>
                <w:i w:val="false"/>
                <w:color w:val="000000"/>
                <w:sz w:val="20"/>
              </w:rPr>
              <w:t>для поддержки деятельности таможенных органов государств – членов</w:t>
            </w:r>
            <w:r>
              <w:br/>
            </w:r>
            <w:r>
              <w:rPr>
                <w:rFonts w:ascii="Times New Roman"/>
                <w:b w:val="false"/>
                <w:i w:val="false"/>
                <w:color w:val="000000"/>
                <w:sz w:val="20"/>
              </w:rPr>
              <w:t>
</w:t>
            </w:r>
            <w:r>
              <w:rPr>
                <w:rFonts w:ascii="Times New Roman"/>
                <w:b w:val="false"/>
                <w:i w:val="false"/>
                <w:color w:val="000000"/>
                <w:sz w:val="20"/>
              </w:rPr>
              <w:t>Таможенного союза и Единого экономического пространства</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Формирование, ведение и использование информационно-справочного перечня пунктов пропуска через внешнюю границу государств – членов Таможенного союза и Единого экономического пространства</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Формирование, ведение и использование базы данных паспортов пунктов пропуска через внешнюю границу государств – членов Таможенного союза и Единого экономического пространства</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Формирование, ведение и использование общего реестра резидентов (участников) свободных (специальных, особых) экономических зон</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Формирование, ведение и использование единого реестра мест прибытия</w:t>
            </w:r>
            <w:r>
              <w:br/>
            </w:r>
            <w:r>
              <w:rPr>
                <w:rFonts w:ascii="Times New Roman"/>
                <w:b w:val="false"/>
                <w:i w:val="false"/>
                <w:color w:val="000000"/>
                <w:sz w:val="20"/>
              </w:rPr>
              <w:t>
</w:t>
            </w:r>
            <w:r>
              <w:rPr>
                <w:rFonts w:ascii="Times New Roman"/>
                <w:b w:val="false"/>
                <w:i w:val="false"/>
                <w:color w:val="000000"/>
                <w:sz w:val="20"/>
              </w:rPr>
              <w:t xml:space="preserve">(убытия) товаров на территорию </w:t>
            </w:r>
            <w:r>
              <w:rPr>
                <w:rFonts w:ascii="Times New Roman"/>
                <w:b w:val="false"/>
                <w:i w:val="false"/>
                <w:color w:val="000000"/>
                <w:sz w:val="20"/>
              </w:rPr>
              <w:t>(с территории) Таможенного союза и</w:t>
            </w:r>
            <w:r>
              <w:br/>
            </w:r>
            <w:r>
              <w:rPr>
                <w:rFonts w:ascii="Times New Roman"/>
                <w:b w:val="false"/>
                <w:i w:val="false"/>
                <w:color w:val="000000"/>
                <w:sz w:val="20"/>
              </w:rPr>
              <w:t>
</w:t>
            </w:r>
            <w:r>
              <w:rPr>
                <w:rFonts w:ascii="Times New Roman"/>
                <w:b w:val="false"/>
                <w:i w:val="false"/>
                <w:color w:val="000000"/>
                <w:sz w:val="20"/>
              </w:rPr>
              <w:t xml:space="preserve">Единого экономического пространства </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Формирование, ведение и использование общего реестра таможенных представителей</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Формирование, ведение и использование общего реестра таможенных перевозчиков</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Формирование, ведение и использование общего реестра владельцев свободных складов</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Формирование, ведение и использование общего реестра владельцев складов временного хранения</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Формирование, ведение и использование общего реестра владельцев таможенных складов</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Формирование, ведение и использование классификаторов, используемых для заполнения таможенных деклараций</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Формирование, ведение и использование баз данных образцов оттисков печатей компетентных органов, уполномоченных заверять сертификаты соответствия о происхождении товаров</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Обеспечение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в целях мониторинга и контроля таможенных процессов</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Обеспечение обмена сведениями между таможенными органами государств</w:t>
            </w:r>
            <w:r>
              <w:br/>
            </w:r>
            <w:r>
              <w:rPr>
                <w:rFonts w:ascii="Times New Roman"/>
                <w:b w:val="false"/>
                <w:i w:val="false"/>
                <w:color w:val="000000"/>
                <w:sz w:val="20"/>
              </w:rPr>
              <w:t>
</w:t>
            </w:r>
            <w:r>
              <w:rPr>
                <w:rFonts w:ascii="Times New Roman"/>
                <w:b w:val="false"/>
                <w:i w:val="false"/>
                <w:color w:val="000000"/>
                <w:sz w:val="20"/>
              </w:rPr>
              <w:t xml:space="preserve">– членов Таможенного союза </w:t>
            </w:r>
            <w:r>
              <w:rPr>
                <w:rFonts w:ascii="Times New Roman"/>
                <w:b w:val="false"/>
                <w:i w:val="false"/>
                <w:color w:val="000000"/>
                <w:sz w:val="20"/>
              </w:rPr>
              <w:t>в процессе контроля перевозок товаров в</w:t>
            </w:r>
            <w:r>
              <w:br/>
            </w:r>
            <w:r>
              <w:rPr>
                <w:rFonts w:ascii="Times New Roman"/>
                <w:b w:val="false"/>
                <w:i w:val="false"/>
                <w:color w:val="000000"/>
                <w:sz w:val="20"/>
              </w:rPr>
              <w:t>
</w:t>
            </w:r>
            <w:r>
              <w:rPr>
                <w:rFonts w:ascii="Times New Roman"/>
                <w:b w:val="false"/>
                <w:i w:val="false"/>
                <w:color w:val="000000"/>
                <w:sz w:val="20"/>
              </w:rPr>
              <w:t>соответствии с таможенной процедурой таможенного транзита</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Обеспечение обмена сведениями между таможенными органами государств</w:t>
            </w:r>
            <w:r>
              <w:br/>
            </w:r>
            <w:r>
              <w:rPr>
                <w:rFonts w:ascii="Times New Roman"/>
                <w:b w:val="false"/>
                <w:i w:val="false"/>
                <w:color w:val="000000"/>
                <w:sz w:val="20"/>
              </w:rPr>
              <w:t>
</w:t>
            </w:r>
            <w:r>
              <w:rPr>
                <w:rFonts w:ascii="Times New Roman"/>
                <w:b w:val="false"/>
                <w:i w:val="false"/>
                <w:color w:val="000000"/>
                <w:sz w:val="20"/>
              </w:rPr>
              <w:t xml:space="preserve">– членов Таможенного союза </w:t>
            </w:r>
            <w:r>
              <w:rPr>
                <w:rFonts w:ascii="Times New Roman"/>
                <w:b w:val="false"/>
                <w:i w:val="false"/>
                <w:color w:val="000000"/>
                <w:sz w:val="20"/>
              </w:rPr>
              <w:t>в процессе контроля и подтверждения</w:t>
            </w:r>
            <w:r>
              <w:br/>
            </w:r>
            <w:r>
              <w:rPr>
                <w:rFonts w:ascii="Times New Roman"/>
                <w:b w:val="false"/>
                <w:i w:val="false"/>
                <w:color w:val="000000"/>
                <w:sz w:val="20"/>
              </w:rPr>
              <w:t>
</w:t>
            </w:r>
            <w:r>
              <w:rPr>
                <w:rFonts w:ascii="Times New Roman"/>
                <w:b w:val="false"/>
                <w:i w:val="false"/>
                <w:color w:val="000000"/>
                <w:sz w:val="20"/>
              </w:rPr>
              <w:t>фактического вывоза товаров за пределы таможенной территории Таможенного</w:t>
            </w:r>
            <w:r>
              <w:br/>
            </w:r>
            <w:r>
              <w:rPr>
                <w:rFonts w:ascii="Times New Roman"/>
                <w:b w:val="false"/>
                <w:i w:val="false"/>
                <w:color w:val="000000"/>
                <w:sz w:val="20"/>
              </w:rPr>
              <w:t>
</w:t>
            </w:r>
            <w:r>
              <w:rPr>
                <w:rFonts w:ascii="Times New Roman"/>
                <w:b w:val="false"/>
                <w:i w:val="false"/>
                <w:color w:val="000000"/>
                <w:sz w:val="20"/>
              </w:rPr>
              <w:t xml:space="preserve">союза </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Обеспечение обмена сведениями между таможенными органами государств</w:t>
            </w:r>
            <w:r>
              <w:br/>
            </w:r>
            <w:r>
              <w:rPr>
                <w:rFonts w:ascii="Times New Roman"/>
                <w:b w:val="false"/>
                <w:i w:val="false"/>
                <w:color w:val="000000"/>
                <w:sz w:val="20"/>
              </w:rPr>
              <w:t>
</w:t>
            </w:r>
            <w:r>
              <w:rPr>
                <w:rFonts w:ascii="Times New Roman"/>
                <w:b w:val="false"/>
                <w:i w:val="false"/>
                <w:color w:val="000000"/>
                <w:sz w:val="20"/>
              </w:rPr>
              <w:t xml:space="preserve">– членов Таможенного союза </w:t>
            </w:r>
            <w:r>
              <w:rPr>
                <w:rFonts w:ascii="Times New Roman"/>
                <w:b w:val="false"/>
                <w:i w:val="false"/>
                <w:color w:val="000000"/>
                <w:sz w:val="20"/>
              </w:rPr>
              <w:t>в процессе учета и контроля временного ввоза</w:t>
            </w:r>
            <w:r>
              <w:br/>
            </w:r>
            <w:r>
              <w:rPr>
                <w:rFonts w:ascii="Times New Roman"/>
                <w:b w:val="false"/>
                <w:i w:val="false"/>
                <w:color w:val="000000"/>
                <w:sz w:val="20"/>
              </w:rPr>
              <w:t>
</w:t>
            </w:r>
            <w:r>
              <w:rPr>
                <w:rFonts w:ascii="Times New Roman"/>
                <w:b w:val="false"/>
                <w:i w:val="false"/>
                <w:color w:val="000000"/>
                <w:sz w:val="20"/>
              </w:rPr>
              <w:t>и вывоза автомобильных транспортных средств международной перевозки на</w:t>
            </w:r>
            <w:r>
              <w:br/>
            </w:r>
            <w:r>
              <w:rPr>
                <w:rFonts w:ascii="Times New Roman"/>
                <w:b w:val="false"/>
                <w:i w:val="false"/>
                <w:color w:val="000000"/>
                <w:sz w:val="20"/>
              </w:rPr>
              <w:t>
</w:t>
            </w:r>
            <w:r>
              <w:rPr>
                <w:rFonts w:ascii="Times New Roman"/>
                <w:b w:val="false"/>
                <w:i w:val="false"/>
                <w:color w:val="000000"/>
                <w:sz w:val="20"/>
              </w:rPr>
              <w:t>территорию (с территории) государств – членов Таможенного союза</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Обеспечение обмена информацией между таможенными органами государств</w:t>
            </w:r>
            <w:r>
              <w:br/>
            </w:r>
            <w:r>
              <w:rPr>
                <w:rFonts w:ascii="Times New Roman"/>
                <w:b w:val="false"/>
                <w:i w:val="false"/>
                <w:color w:val="000000"/>
                <w:sz w:val="20"/>
              </w:rPr>
              <w:t>
</w:t>
            </w:r>
            <w:r>
              <w:rPr>
                <w:rFonts w:ascii="Times New Roman"/>
                <w:b w:val="false"/>
                <w:i w:val="false"/>
                <w:color w:val="000000"/>
                <w:sz w:val="20"/>
              </w:rPr>
              <w:t xml:space="preserve">– членов Таможенного союза </w:t>
            </w:r>
            <w:r>
              <w:rPr>
                <w:rFonts w:ascii="Times New Roman"/>
                <w:b w:val="false"/>
                <w:i w:val="false"/>
                <w:color w:val="000000"/>
                <w:sz w:val="20"/>
              </w:rPr>
              <w:t>в отношении транспортных средств, временно</w:t>
            </w:r>
            <w:r>
              <w:br/>
            </w:r>
            <w:r>
              <w:rPr>
                <w:rFonts w:ascii="Times New Roman"/>
                <w:b w:val="false"/>
                <w:i w:val="false"/>
                <w:color w:val="000000"/>
                <w:sz w:val="20"/>
              </w:rPr>
              <w:t>
</w:t>
            </w:r>
            <w:r>
              <w:rPr>
                <w:rFonts w:ascii="Times New Roman"/>
                <w:b w:val="false"/>
                <w:i w:val="false"/>
                <w:color w:val="000000"/>
                <w:sz w:val="20"/>
              </w:rPr>
              <w:t>ввозимых на таможенную территорию Таможенного союза физическими лицами</w:t>
            </w:r>
            <w:r>
              <w:br/>
            </w:r>
            <w:r>
              <w:rPr>
                <w:rFonts w:ascii="Times New Roman"/>
                <w:b w:val="false"/>
                <w:i w:val="false"/>
                <w:color w:val="000000"/>
                <w:sz w:val="20"/>
              </w:rPr>
              <w:t>
</w:t>
            </w:r>
            <w:r>
              <w:rPr>
                <w:rFonts w:ascii="Times New Roman"/>
                <w:b w:val="false"/>
                <w:i w:val="false"/>
                <w:color w:val="000000"/>
                <w:sz w:val="20"/>
              </w:rPr>
              <w:t>для личного пользования</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Обеспечение обмена информацией между таможенными органами государств</w:t>
            </w:r>
            <w:r>
              <w:br/>
            </w:r>
            <w:r>
              <w:rPr>
                <w:rFonts w:ascii="Times New Roman"/>
                <w:b w:val="false"/>
                <w:i w:val="false"/>
                <w:color w:val="000000"/>
                <w:sz w:val="20"/>
              </w:rPr>
              <w:t>
</w:t>
            </w:r>
            <w:r>
              <w:rPr>
                <w:rFonts w:ascii="Times New Roman"/>
                <w:b w:val="false"/>
                <w:i w:val="false"/>
                <w:color w:val="000000"/>
                <w:sz w:val="20"/>
              </w:rPr>
              <w:t xml:space="preserve">– членов Таможенного союза </w:t>
            </w:r>
            <w:r>
              <w:rPr>
                <w:rFonts w:ascii="Times New Roman"/>
                <w:b w:val="false"/>
                <w:i w:val="false"/>
                <w:color w:val="000000"/>
                <w:sz w:val="20"/>
              </w:rPr>
              <w:t>в отношении автомобилей, ввезенных и</w:t>
            </w:r>
            <w:r>
              <w:br/>
            </w:r>
            <w:r>
              <w:rPr>
                <w:rFonts w:ascii="Times New Roman"/>
                <w:b w:val="false"/>
                <w:i w:val="false"/>
                <w:color w:val="000000"/>
                <w:sz w:val="20"/>
              </w:rPr>
              <w:t>
</w:t>
            </w:r>
            <w:r>
              <w:rPr>
                <w:rFonts w:ascii="Times New Roman"/>
                <w:b w:val="false"/>
                <w:i w:val="false"/>
                <w:color w:val="000000"/>
                <w:sz w:val="20"/>
              </w:rPr>
              <w:t>выпущенных для внутреннего потребления на территорию Таможенного союза</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Обеспечение формирования и направления запросов, представления</w:t>
            </w:r>
            <w:r>
              <w:br/>
            </w:r>
            <w:r>
              <w:rPr>
                <w:rFonts w:ascii="Times New Roman"/>
                <w:b w:val="false"/>
                <w:i w:val="false"/>
                <w:color w:val="000000"/>
                <w:sz w:val="20"/>
              </w:rPr>
              <w:t>
</w:t>
            </w:r>
            <w:r>
              <w:rPr>
                <w:rFonts w:ascii="Times New Roman"/>
                <w:b w:val="false"/>
                <w:i w:val="false"/>
                <w:color w:val="000000"/>
                <w:sz w:val="20"/>
              </w:rPr>
              <w:t>информации в целях проведения мониторинга исполнения государствами –</w:t>
            </w:r>
            <w:r>
              <w:br/>
            </w:r>
            <w:r>
              <w:rPr>
                <w:rFonts w:ascii="Times New Roman"/>
                <w:b w:val="false"/>
                <w:i w:val="false"/>
                <w:color w:val="000000"/>
                <w:sz w:val="20"/>
              </w:rPr>
              <w:t>
</w:t>
            </w:r>
            <w:r>
              <w:rPr>
                <w:rFonts w:ascii="Times New Roman"/>
                <w:b w:val="false"/>
                <w:i w:val="false"/>
                <w:color w:val="000000"/>
                <w:sz w:val="20"/>
              </w:rPr>
              <w:t>членами Таможенного союза и Единого экономического пространства</w:t>
            </w:r>
            <w:r>
              <w:br/>
            </w:r>
            <w:r>
              <w:rPr>
                <w:rFonts w:ascii="Times New Roman"/>
                <w:b w:val="false"/>
                <w:i w:val="false"/>
                <w:color w:val="000000"/>
                <w:sz w:val="20"/>
              </w:rPr>
              <w:t>
</w:t>
            </w:r>
            <w:r>
              <w:rPr>
                <w:rFonts w:ascii="Times New Roman"/>
                <w:b w:val="false"/>
                <w:i w:val="false"/>
                <w:color w:val="000000"/>
                <w:sz w:val="20"/>
              </w:rPr>
              <w:t>международных договоров и решений Высшего Евразийского экономического</w:t>
            </w:r>
            <w:r>
              <w:br/>
            </w:r>
            <w:r>
              <w:rPr>
                <w:rFonts w:ascii="Times New Roman"/>
                <w:b w:val="false"/>
                <w:i w:val="false"/>
                <w:color w:val="000000"/>
                <w:sz w:val="20"/>
              </w:rPr>
              <w:t>
</w:t>
            </w:r>
            <w:r>
              <w:rPr>
                <w:rFonts w:ascii="Times New Roman"/>
                <w:b w:val="false"/>
                <w:i w:val="false"/>
                <w:color w:val="000000"/>
                <w:sz w:val="20"/>
              </w:rPr>
              <w:t>совета, Евразийской экономической комиссии (Комиссии Таможенного союза)</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годы</w:t>
            </w:r>
          </w:p>
        </w:tc>
      </w:tr>
      <w:tr>
        <w:trPr>
          <w:trHeight w:val="615"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Обеспечение обмена информацией между таможенными органами государств – членов Таможенного союза из баз данных электронных копий деклараций на товары</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Обеспечение обмена информацией между таможенными органами государств – членов Таможенного союза из баз данных электронных копий таможенных приходных ордеров</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обмена информацией из баз данных электронных копий предварительных решений, принимаемых таможенными органами государств – членов Таможенного союза и Единого экономического пространства</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Обеспечение охраны и защиты результатов интеллектуальной</w:t>
            </w:r>
            <w:r>
              <w:br/>
            </w:r>
            <w:r>
              <w:rPr>
                <w:rFonts w:ascii="Times New Roman"/>
                <w:b w:val="false"/>
                <w:i w:val="false"/>
                <w:color w:val="000000"/>
                <w:sz w:val="20"/>
              </w:rPr>
              <w:t>
</w:t>
            </w:r>
            <w:r>
              <w:rPr>
                <w:rFonts w:ascii="Times New Roman"/>
                <w:b w:val="false"/>
                <w:i w:val="false"/>
                <w:color w:val="000000"/>
                <w:sz w:val="20"/>
              </w:rPr>
              <w:t xml:space="preserve">деятельности </w:t>
            </w:r>
            <w:r>
              <w:rPr>
                <w:rFonts w:ascii="Times New Roman"/>
                <w:b w:val="false"/>
                <w:i w:val="false"/>
                <w:color w:val="000000"/>
                <w:sz w:val="20"/>
              </w:rPr>
              <w:t>и средств индивидуализации товаров, работ и услуг</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Формирование, ведение и использование единого таможенного реестра объектов интеллектуальной собственности государств – членов Таможенного союза и Единого экономического пространства</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Регистрация, правовая охрана и использование товарных знаков, знаков обслуживания Единого экономического пространства</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Регистрация, правовая охрана и использование наименований мест происхождения товаров Единого экономического пространства</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годы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Информационная поддержка ведения классификаторов товаров,</w:t>
            </w:r>
            <w:r>
              <w:br/>
            </w:r>
            <w:r>
              <w:rPr>
                <w:rFonts w:ascii="Times New Roman"/>
                <w:b w:val="false"/>
                <w:i w:val="false"/>
                <w:color w:val="000000"/>
                <w:sz w:val="20"/>
              </w:rPr>
              <w:t>
</w:t>
            </w:r>
            <w:r>
              <w:rPr>
                <w:rFonts w:ascii="Times New Roman"/>
                <w:b w:val="false"/>
                <w:i w:val="false"/>
                <w:color w:val="000000"/>
                <w:sz w:val="20"/>
              </w:rPr>
              <w:t xml:space="preserve">товарных номенклатур </w:t>
            </w:r>
            <w:r>
              <w:rPr>
                <w:rFonts w:ascii="Times New Roman"/>
                <w:b w:val="false"/>
                <w:i w:val="false"/>
                <w:color w:val="000000"/>
                <w:sz w:val="20"/>
              </w:rPr>
              <w:t>и Единого таможенного тарифа Таможенного союза</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Формирование, ведение и использование электронных единой Товарной номенклатуры внешнеэкономической деятельности Таможенного союза и Единого таможенного тарифа Таможенного союза, их международных основ и вспомогательных информационных (справочных) материалов к ним</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Формирование сборника принятых предварительных решений таможенных органов государств – членов Таможенного союза и Единого экономического пространства по классификации товаров</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Информационное обеспечение в сфере</w:t>
            </w:r>
            <w:r>
              <w:br/>
            </w:r>
            <w:r>
              <w:rPr>
                <w:rFonts w:ascii="Times New Roman"/>
                <w:b w:val="false"/>
                <w:i w:val="false"/>
                <w:color w:val="000000"/>
                <w:sz w:val="20"/>
              </w:rPr>
              <w:t>
</w:t>
            </w:r>
            <w:r>
              <w:rPr>
                <w:rFonts w:ascii="Times New Roman"/>
                <w:b w:val="false"/>
                <w:i w:val="false"/>
                <w:color w:val="000000"/>
                <w:sz w:val="20"/>
              </w:rPr>
              <w:t xml:space="preserve">обращения </w:t>
            </w:r>
            <w:r>
              <w:rPr>
                <w:rFonts w:ascii="Times New Roman"/>
                <w:b w:val="false"/>
                <w:i w:val="false"/>
                <w:color w:val="000000"/>
                <w:sz w:val="20"/>
              </w:rPr>
              <w:t>лекарственных средств и медицинских изделий</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Формирование, ведение и использование единого реестра зарегистрированных лекарственных средств Таможенного союза и Единого экономического пространства</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Формирование, ведение и использование реестра аттестованных уполномоченных лиц производителей лекарственных средств</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Формирование, ведение и использование единой информационной базы лекарственных средств, не соответствующих требованиям к качеству, а также контрафактных и фальсифицированных лекарственных средств, выявленных на территориях государств – членов Таможенного союза и Единого экономического пространства</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Формирование, ведение и использование единой информационной базы данных о выявленных побочных реакциях на лекарственные средства, включая сообщения о неэффективности лекарственных средств </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Формирование, ведение и использование единой информационной базы о приостановленных, отозванных и запрещенных к применению лекарственных средствах</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Формирование, ведение и использование единого реестра</w:t>
            </w:r>
            <w:r>
              <w:br/>
            </w:r>
            <w:r>
              <w:rPr>
                <w:rFonts w:ascii="Times New Roman"/>
                <w:b w:val="false"/>
                <w:i w:val="false"/>
                <w:color w:val="000000"/>
                <w:sz w:val="20"/>
              </w:rPr>
              <w:t>
</w:t>
            </w:r>
            <w:r>
              <w:rPr>
                <w:rFonts w:ascii="Times New Roman"/>
                <w:b w:val="false"/>
                <w:i w:val="false"/>
                <w:color w:val="000000"/>
                <w:sz w:val="20"/>
              </w:rPr>
              <w:t xml:space="preserve">зарегистрированных </w:t>
            </w:r>
            <w:r>
              <w:rPr>
                <w:rFonts w:ascii="Times New Roman"/>
                <w:b w:val="false"/>
                <w:i w:val="false"/>
                <w:color w:val="000000"/>
                <w:sz w:val="20"/>
              </w:rPr>
              <w:t>медицинских изделий Таможенного союза и Единого</w:t>
            </w:r>
            <w:r>
              <w:br/>
            </w:r>
            <w:r>
              <w:rPr>
                <w:rFonts w:ascii="Times New Roman"/>
                <w:b w:val="false"/>
                <w:i w:val="false"/>
                <w:color w:val="000000"/>
                <w:sz w:val="20"/>
              </w:rPr>
              <w:t>
</w:t>
            </w:r>
            <w:r>
              <w:rPr>
                <w:rFonts w:ascii="Times New Roman"/>
                <w:b w:val="false"/>
                <w:i w:val="false"/>
                <w:color w:val="000000"/>
                <w:sz w:val="20"/>
              </w:rPr>
              <w:t>экономического пространства</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Формирование, ведение и использование единого реестра уполномоченных организаций Таможенного союза и Единого экономического пространства, осуществляющих проведение испытаний (исследований) медицинских изделий в целях их регистрации</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Формирование, ведение и использование единой информационной базы мониторинга безопасности, качества и эффективности медицинских изделий</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Информационное обеспечение </w:t>
            </w:r>
            <w:r>
              <w:br/>
            </w:r>
            <w:r>
              <w:rPr>
                <w:rFonts w:ascii="Times New Roman"/>
                <w:b w:val="false"/>
                <w:i w:val="false"/>
                <w:color w:val="000000"/>
                <w:sz w:val="20"/>
              </w:rPr>
              <w:t>
</w:t>
            </w:r>
            <w:r>
              <w:rPr>
                <w:rFonts w:ascii="Times New Roman"/>
                <w:b w:val="false"/>
                <w:i w:val="false"/>
                <w:color w:val="000000"/>
                <w:sz w:val="20"/>
              </w:rPr>
              <w:t>в сфере технического регулирования</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Формирование, ведение и использование единых реестров выданных и зарегистрированных документов об оценке (подтверждении) соответствия требованиям технических регламентов Таможенного союза </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Формирование и ведение единых реестров органов по оценке соответствия Таможенного союза и Единого экономического пространства (включая органы по сертификации и испытательные лаборатории (центры), уполномоченные (нотифицированные) органы по оценке соответствия)</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Формирование, ведение и использование информационной базы по разработке межгосударственных стандартов, необходимых для реализации технических регламентов Таможенного союза, включая информацию по реализации утвержденных программ по разработке (внесению изменений, пересмотру) межгосударственных стандартов, необходимых для реализации технических регламентов Таможенного союза</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Формирование, ведение и использование системы информирования уполномоченных органов государств – членов Таможенного союза и Единого экономического пространства, потребителей и других заинтересованных лиц об опасной продукции, не соответствующей требованиям технических регламентов Таможенного союза (по результатам государственного контроля(надзора))</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Формирование и ведение единых реестров персонала по оценке соответствия (в том числе аккредитации) Таможенного союза и Единого экономического пространства</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Информационное обеспечение</w:t>
            </w:r>
            <w:r>
              <w:br/>
            </w:r>
            <w:r>
              <w:rPr>
                <w:rFonts w:ascii="Times New Roman"/>
                <w:b w:val="false"/>
                <w:i w:val="false"/>
                <w:color w:val="000000"/>
                <w:sz w:val="20"/>
              </w:rPr>
              <w:t>
</w:t>
            </w:r>
            <w:r>
              <w:rPr>
                <w:rFonts w:ascii="Times New Roman"/>
                <w:b w:val="false"/>
                <w:i w:val="false"/>
                <w:color w:val="000000"/>
                <w:sz w:val="20"/>
              </w:rPr>
              <w:t xml:space="preserve">применения </w:t>
            </w:r>
            <w:r>
              <w:rPr>
                <w:rFonts w:ascii="Times New Roman"/>
                <w:b w:val="false"/>
                <w:i w:val="false"/>
                <w:color w:val="000000"/>
                <w:sz w:val="20"/>
              </w:rPr>
              <w:t>санитарных и ветеринарно-санитарных мер</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Формирование, ведение и использование единого реестра свидетельств о государственной регистрации на товары, подлежащие санитарно-эпидемиологическому надзору (контролю) на таможенной границе и таможенной территории Таможенного союза </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Формирование, ведение и использование базы данных о случаях обнаружения и распространения на территориях государств – членов Таможенного союза и Единого экономического пространства заразных болезней животных, в том числе общих для человека и животных, и товаров (продукции) животного происхождения, опасных в ветеринарно-санитарном отношении, а также о принятых ветеринарно-санитарных мерах</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Формирование, ведение и использование базы данных о выданных ветеринарных сопроводительных документах (ветеринарных сертификатах)</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Формирование, ведение и использование реестра организаций и лиц, осуществляющих производство, переработку и (или) хранение подконтрольных ветеринарно-санитарному надзору (контролю)товаров, ввозимых на таможенную территорию Таможенного союза</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Формирование, ведение и использование реестра организаций и лиц, осуществляющих производство, переработку и (или) хранение товаров, перемещаемых с территории одного государства – члена Таможенного союза и Единого экономического пространства на территорию другого государства – члена Таможенного союза и Единого экономического пространства</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Формирование, ведение и использование реестра зарегистрированных лекарственных средств для животных, диагностических систем, средств для противопаразитарных обработок животных и кормовых добавок для животных</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Формирование, ведение и использование единой базы данных выданных уполномоченными органами государств – членов Таможенного союза и Единого экономического пространства разрешений на ввоз (вывоз, транзит) подконтрольных ветеринарной службе грузов</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 Информационное обеспечение</w:t>
            </w:r>
            <w:r>
              <w:br/>
            </w:r>
            <w:r>
              <w:rPr>
                <w:rFonts w:ascii="Times New Roman"/>
                <w:b w:val="false"/>
                <w:i w:val="false"/>
                <w:color w:val="000000"/>
                <w:sz w:val="20"/>
              </w:rPr>
              <w:t>
</w:t>
            </w:r>
            <w:r>
              <w:rPr>
                <w:rFonts w:ascii="Times New Roman"/>
                <w:b w:val="false"/>
                <w:i w:val="false"/>
                <w:color w:val="000000"/>
                <w:sz w:val="20"/>
              </w:rPr>
              <w:t>транспортного (автомобильного) контроля</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Информационное обеспечение транспортного (автомобильного) контроля на внешней границе Таможенного союза и Единого экономического пространства</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годы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Информационное обеспечение</w:t>
            </w:r>
            <w:r>
              <w:br/>
            </w:r>
            <w:r>
              <w:rPr>
                <w:rFonts w:ascii="Times New Roman"/>
                <w:b w:val="false"/>
                <w:i w:val="false"/>
                <w:color w:val="000000"/>
                <w:sz w:val="20"/>
              </w:rPr>
              <w:t>
</w:t>
            </w:r>
            <w:r>
              <w:rPr>
                <w:rFonts w:ascii="Times New Roman"/>
                <w:b w:val="false"/>
                <w:i w:val="false"/>
                <w:color w:val="000000"/>
                <w:sz w:val="20"/>
              </w:rPr>
              <w:t>процессов регулирования и контроля</w:t>
            </w:r>
            <w:r>
              <w:br/>
            </w:r>
            <w:r>
              <w:rPr>
                <w:rFonts w:ascii="Times New Roman"/>
                <w:b w:val="false"/>
                <w:i w:val="false"/>
                <w:color w:val="000000"/>
                <w:sz w:val="20"/>
              </w:rPr>
              <w:t>
</w:t>
            </w:r>
            <w:r>
              <w:rPr>
                <w:rFonts w:ascii="Times New Roman"/>
                <w:b w:val="false"/>
                <w:i w:val="false"/>
                <w:color w:val="000000"/>
                <w:sz w:val="20"/>
              </w:rPr>
              <w:t xml:space="preserve">производства </w:t>
            </w:r>
            <w:r>
              <w:rPr>
                <w:rFonts w:ascii="Times New Roman"/>
                <w:b w:val="false"/>
                <w:i w:val="false"/>
                <w:color w:val="000000"/>
                <w:sz w:val="20"/>
              </w:rPr>
              <w:t>и обращения сельскохозяйственной продукции</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Формирование, ведение и использование единого реестра сортов сельскохозяйственных растений, допущенных к использованию на территориях государств – членов Таможенного союза и Единого экономического пространства (с указанием зон допуска)</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Формирование, ведение и использование общих баз данных в рамках системы идентификации, регистрации и прослеживаемости сельскохозяйственных животных и продукции животного происхождения</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 Информационное обеспечение процессов</w:t>
            </w:r>
            <w:r>
              <w:br/>
            </w:r>
            <w:r>
              <w:rPr>
                <w:rFonts w:ascii="Times New Roman"/>
                <w:b w:val="false"/>
                <w:i w:val="false"/>
                <w:color w:val="000000"/>
                <w:sz w:val="20"/>
              </w:rPr>
              <w:t>
</w:t>
            </w:r>
            <w:r>
              <w:rPr>
                <w:rFonts w:ascii="Times New Roman"/>
                <w:b w:val="false"/>
                <w:i w:val="false"/>
                <w:color w:val="000000"/>
                <w:sz w:val="20"/>
              </w:rPr>
              <w:t xml:space="preserve">регулирования </w:t>
            </w:r>
            <w:r>
              <w:rPr>
                <w:rFonts w:ascii="Times New Roman"/>
                <w:b w:val="false"/>
                <w:i w:val="false"/>
                <w:color w:val="000000"/>
                <w:sz w:val="20"/>
              </w:rPr>
              <w:t>и контроля за оборотом подакцизной продукции</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Формирование, ведение и использование единой базы данных об объемах производства алкогольной продукции и объемах взаимной торговли алкогольной продукцией, включая информацию об объемах этилового спирта, ввозимого на территорию одного государства – члена Таможенного союза и Единого экономического пространства с территории другого государства – члена Таможенного союза и Единого экономического пространства, участниках рынка алкогольной продукции (в том числе количество приобретенных ими для маркировки указанной продукции учетных марок(акцизных, учетно-контрольных, федеральных специальных, контрольных, других марок и специальных знаков, предназначенных в соответствии с законодательными актами государств – членов Таможенного союза и Единого экономического пространства для маркировки алкогольной продукции, разлитой в потребительскую тару (упаковку)),а также о видах алкогольной продукции, подлежащей маркировке учетными марками (акцизные, учетно-контрольные, федеральные специальные, контрольные, другие марки и специальные знаки) в соответствии с законодательством государств – членов Таможенного союза и Единого экономического пространства и нарушениях законодательства государств – членов Таможенного союза и Единого экономического пространства в сфере производства и оборота алкогольной продукции</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Формирование, ведение и использование единой базы данных о прекращении, приостановлении действия и аннулировании лицензий, правонарушениях в сфере производства и оборота алкогольной продукции и лицах, их совершивших</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 Информационное обеспечение процессов,связанных с</w:t>
            </w:r>
            <w:r>
              <w:br/>
            </w:r>
            <w:r>
              <w:rPr>
                <w:rFonts w:ascii="Times New Roman"/>
                <w:b w:val="false"/>
                <w:i w:val="false"/>
                <w:color w:val="000000"/>
                <w:sz w:val="20"/>
              </w:rPr>
              <w:t>
</w:t>
            </w:r>
            <w:r>
              <w:rPr>
                <w:rFonts w:ascii="Times New Roman"/>
                <w:b w:val="false"/>
                <w:i w:val="false"/>
                <w:color w:val="000000"/>
                <w:sz w:val="20"/>
              </w:rPr>
              <w:t>обменом информацией по вопросам налогообложения, зачисления и</w:t>
            </w:r>
            <w:r>
              <w:br/>
            </w:r>
            <w:r>
              <w:rPr>
                <w:rFonts w:ascii="Times New Roman"/>
                <w:b w:val="false"/>
                <w:i w:val="false"/>
                <w:color w:val="000000"/>
                <w:sz w:val="20"/>
              </w:rPr>
              <w:t>
</w:t>
            </w:r>
            <w:r>
              <w:rPr>
                <w:rFonts w:ascii="Times New Roman"/>
                <w:b w:val="false"/>
                <w:i w:val="false"/>
                <w:color w:val="000000"/>
                <w:sz w:val="20"/>
              </w:rPr>
              <w:t>распределения ввозных таможенных пошлин, свободного движения капитала</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Обеспечение обмена сведениями, формирование, ведение и использование базы данных о суммах зачисленных и распределенных ввозных таможенных пошлин</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Формирование, ведение и использование базы данных об объемах продажи (покупки) денежных средств, поступивших на счета в иностранной валюте государств – членов Таможенного союза и Единого экономического пространства</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Обеспечение обмена сведениями, связанными с уплатой ввозных таможенных пошлин, а также формирование, ведение и использование базы данных, содержащей сведения, связанные с уплатой ввозных таможенных пошлин</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Формирование, ведение и использование общих баз данных о лицензиях, выданных финансовым организациям в государствах – членах Таможенного союза и Единого экономического пространства, в том числе трансграничным финансовым организациям</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XIII. Обеспечение электронного документооборота между</w:t>
            </w:r>
            <w:r>
              <w:br/>
            </w:r>
            <w:r>
              <w:rPr>
                <w:rFonts w:ascii="Times New Roman"/>
                <w:b w:val="false"/>
                <w:i w:val="false"/>
                <w:color w:val="000000"/>
                <w:sz w:val="20"/>
              </w:rPr>
              <w:t>
</w:t>
            </w:r>
            <w:r>
              <w:rPr>
                <w:rFonts w:ascii="Times New Roman"/>
                <w:b w:val="false"/>
                <w:i w:val="false"/>
                <w:color w:val="000000"/>
                <w:sz w:val="20"/>
              </w:rPr>
              <w:t xml:space="preserve">государствами – членами </w:t>
            </w:r>
            <w:r>
              <w:rPr>
                <w:rFonts w:ascii="Times New Roman"/>
                <w:b w:val="false"/>
                <w:i w:val="false"/>
                <w:color w:val="000000"/>
                <w:sz w:val="20"/>
              </w:rPr>
              <w:t>Таможенного союза и Единого</w:t>
            </w:r>
            <w:r>
              <w:br/>
            </w:r>
            <w:r>
              <w:rPr>
                <w:rFonts w:ascii="Times New Roman"/>
                <w:b w:val="false"/>
                <w:i w:val="false"/>
                <w:color w:val="000000"/>
                <w:sz w:val="20"/>
              </w:rPr>
              <w:t>
</w:t>
            </w:r>
            <w:r>
              <w:rPr>
                <w:rFonts w:ascii="Times New Roman"/>
                <w:b w:val="false"/>
                <w:i w:val="false"/>
                <w:color w:val="000000"/>
                <w:sz w:val="20"/>
              </w:rPr>
              <w:t xml:space="preserve">экономического пространства и </w:t>
            </w:r>
            <w:r>
              <w:rPr>
                <w:rFonts w:ascii="Times New Roman"/>
                <w:b w:val="false"/>
                <w:i w:val="false"/>
                <w:color w:val="000000"/>
                <w:sz w:val="20"/>
              </w:rPr>
              <w:t>Евразийской экономической комиссией</w:t>
            </w:r>
          </w:p>
        </w:tc>
      </w:tr>
      <w:tr>
        <w:trPr>
          <w:trHeight w:val="30" w:hRule="atLeast"/>
        </w:trPr>
        <w:tc>
          <w:tcPr>
            <w:tcW w:w="1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Обеспечение электронного документооборота между государствами – членами Таможенного союза и Единого экономического пространства и Евразийской экономической комиссией</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годы</w:t>
            </w:r>
          </w:p>
        </w:tc>
      </w:tr>
    </w:tbl>
    <w:tbl>
      <w:tblPr>
        <w:tblW w:w="0" w:type="auto"/>
        <w:tblCellSpacing w:w="0" w:type="auto"/>
        <w:tblBorders>
          <w:top w:val="none"/>
          <w:left w:val="none"/>
          <w:bottom w:val="none"/>
          <w:right w:val="none"/>
          <w:insideH w:val="none"/>
          <w:insideV w:val="none"/>
        </w:tblBorders>
      </w:tblPr>
      <w:tblGrid>
        <w:gridCol w:w="3360"/>
        <w:gridCol w:w="10640"/>
      </w:tblGrid>
      <w:tr>
        <w:trPr>
          <w:trHeight w:val="30" w:hRule="atLeast"/>
        </w:trPr>
        <w:tc>
          <w:tcPr>
            <w:tcW w:w="3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c>
          <w:tcPr>
            <w:tcW w:w="10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необходимости актуализация настоящего перечня проводится при проведении работ по созданию и развитию интеграционного сегмента Евразийской экономической комиссии интегрированной информационной системы внешней и взаимной торговли Таможенного союза.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