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4585" w14:textId="8b44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требованиях к смазочным материалам, маслам и специальным жидкостям» (ТР ТС 030/2012),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смазочным материалам, маслам и специальным жидкостям» (ТР ТС 030/2012)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292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разработке (внесению изменений, пересмотру)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межгосударственных стандартов, в результате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которых на добровольной основе обеспечивается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соблюдение </w:t>
      </w:r>
      <w:r>
        <w:rPr>
          <w:rFonts w:ascii="Times New Roman"/>
          <w:b/>
          <w:i w:val="false"/>
          <w:color w:val="000000"/>
          <w:sz w:val="28"/>
        </w:rPr>
        <w:t>требований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Таможенного союза </w:t>
      </w:r>
      <w:r>
        <w:rPr>
          <w:rFonts w:ascii="Times New Roman"/>
          <w:b/>
          <w:i w:val="false"/>
          <w:color w:val="000000"/>
          <w:sz w:val="28"/>
        </w:rPr>
        <w:t>«О требованиях к смазочным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материалам, маслам и специальным </w:t>
      </w:r>
      <w:r>
        <w:rPr>
          <w:rFonts w:ascii="Times New Roman"/>
          <w:b/>
          <w:i w:val="false"/>
          <w:color w:val="000000"/>
          <w:sz w:val="28"/>
        </w:rPr>
        <w:t>жидкостям»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(ТР ТС 030/2012), а также межгосударственных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(испытаний) и измерений, в том числе правила отбора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образцов, </w:t>
      </w:r>
      <w:r>
        <w:rPr>
          <w:rFonts w:ascii="Times New Roman"/>
          <w:b/>
          <w:i w:val="false"/>
          <w:color w:val="000000"/>
          <w:sz w:val="28"/>
        </w:rPr>
        <w:t>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требований технического 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союза «О требованиях к смазочным </w:t>
      </w:r>
      <w:r>
        <w:rPr>
          <w:rFonts w:ascii="Times New Roman"/>
          <w:b/>
          <w:i w:val="false"/>
          <w:color w:val="000000"/>
          <w:sz w:val="28"/>
        </w:rPr>
        <w:t>материалам,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маслам и специальным жидкостям» (ТР ТС 030/2012)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осуществления оценки (подтверждения)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302"/>
        <w:gridCol w:w="4630"/>
        <w:gridCol w:w="1302"/>
        <w:gridCol w:w="1624"/>
        <w:gridCol w:w="2119"/>
        <w:gridCol w:w="3172"/>
      </w:tblGrid>
      <w:tr>
        <w:trPr>
          <w:trHeight w:val="345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смазочные, масла индустриальные и аналогичные продукты (класс L). Группа Н (гидравлические системы). Спецификация для категорий HETG, HEPG, HEES, HEPR.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15380:2011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0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Метод определения содержания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2477-65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3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базовые. Газохроматографический метод определения N-метилпирролидона.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селективной очистки. Метод определения фенола и крезола.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ГОСТ1057-88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селективной очистки. Метод определения фурфурола.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1520-84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Смазки пластичные. Метод определения содержания механических примесей.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1036-75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изоляционные. Отбор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60475:2011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5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и отработанные масла. Определение содержания полихлорбифенилов (РСВ) и связанных с ними продуктов. Часть 1. Выделение и определение РСВ методом газовой хроматографии с использованием детектора электронного захвата.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EN12766-1:2000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и отработанные масла. Определение содержания полихлорбифенилов (РСВ) и связанных с ними продуктов. Часть 2. Определение содержания полихлорбифенилов (РСВ).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EN12766-2:2000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и отработанные масла. Определение содержания полихлорбифенилов (РСВ) и связанных с ними продуктов. Часть 3. Определение содержания и количества полихлортерфенилов (РСТ) и полихлорбензилтолуолов (РСВТ) методом газовой хроматографии с использованием детектора электронного захвата.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EN12766-2:2000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смазочные. Определение следовых количеств осадка.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ASTMD 2273-2008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смазочные отработанные. Определение нерастворимых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ASTMD893-2012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изоляционные. Определение загрязнения полихлорированными бифенилами (РСВ) методом газовой хроматографии на капиллярной колонке.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61619:1997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 определения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26378.1-84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 определения механических примесей и загрязнений.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26378.2-84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3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 определения температуры вспышки в открытом тигле.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26378.4-84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Общие требования к методам испытания.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26378.0-84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