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afa0" w14:textId="7b8a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товаров, являющихся существенно важными для внутреннего рынка таможенного союза, в отношении которых в исключительных случаях могут быть установлены временные ограничения или запреты экспорта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декабря 2013 года № 307. Утратило силу решением Коллегии Евразийской экономической комиссии от 26 июля 2016 года №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Коллегии Евразийской экономической комиссии от 26.07.2016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 подпункта 1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Соглашения о единых мерах нетарифного регулирования в отношении третьих стран от 25 января 2008 года, абзацев пятого и шестого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Соглашения о порядке введения и применения мер, затрагивающих внешнюю торговлю товарами, на единой таможенной территории в отношении третьих стран от 9 июня 2009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являющихся существенно важными для внутреннего рынка таможенного союза, в отношении которых в исключительных случаях могут быть установлены временные ограничения или запреты экспорта, утвержденный Решением Комиссии Таможенного союза от 27 января 2010 г. № 168 «Об обеспечении функционирования единой системы нетарифного регулирования таможенного союза Республики Беларусь, Республики Казахстан и Российской Федерации»,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00"/>
        <w:gridCol w:w="5720"/>
      </w:tblGrid>
      <w:tr>
        <w:trPr>
          <w:trHeight w:val="30" w:hRule="atLeast"/>
        </w:trPr>
        <w:tc>
          <w:tcPr>
            <w:tcW w:w="6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 Евразийской экономической комиссии</w:t>
            </w:r>
          </w:p>
        </w:tc>
        <w:tc>
          <w:tcPr>
            <w:tcW w:w="5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г. № 307 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Перечень товаров, являющихся существенно важными для</w:t>
      </w:r>
      <w:r>
        <w:br/>
      </w:r>
      <w:r>
        <w:rPr>
          <w:rFonts w:ascii="Times New Roman"/>
          <w:b/>
          <w:i w:val="false"/>
          <w:color w:val="000000"/>
        </w:rPr>
        <w:t>
внутреннего рынка таможенного союза, в отношении которых в</w:t>
      </w:r>
      <w:r>
        <w:br/>
      </w:r>
      <w:r>
        <w:rPr>
          <w:rFonts w:ascii="Times New Roman"/>
          <w:b/>
          <w:i w:val="false"/>
          <w:color w:val="000000"/>
        </w:rPr>
        <w:t>
исключительных случаях могут быть установлены временные</w:t>
      </w:r>
      <w:r>
        <w:br/>
      </w:r>
      <w:r>
        <w:rPr>
          <w:rFonts w:ascii="Times New Roman"/>
          <w:b/>
          <w:i w:val="false"/>
          <w:color w:val="000000"/>
        </w:rPr>
        <w:t>
ограничения или запреты экспорта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графы первой головки таблицы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«Код ТН ВЭД ТС».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Позицию с кодом «0708 10 000 0» ТН ВЭД ТС после слов «(Pisumsativum)» дополнить знаком «,».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Позицию с кодом «0713 10» ТН ВЭД ТС после слова «сушеный» дополнить знаком «,».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позиции с кодом «2304 00 000» ТН ВЭД ТС слово «полученные» заменить словом «получаемые».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позиции с кодом «2306 30 000 0» ТН ВЭД ТС слово «досолнечника» заменить словом «подсолнечника».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Позицию с кодом «4101» ТН ВЭД ТС после слов «(включая буйволов)» дополнить словами «или животных семейства лошадиных».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После позиции с кодом «4101» ТН ВЭД ТС дополнить позициями следующего содержания: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5"/>
        <w:gridCol w:w="10085"/>
      </w:tblGrid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«4103 30 000 0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Необработанные шкуры свиней (парные или соленые, сушеные, золеные, пикелеванные или консервированные другим способом, но не дубленые, не выделанные под пергамент или не подвергнутые дальнейшей обработке), с волосяным покровом или без волосяного покрова, двоеные или недвоеные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Дубленая кожа или кожевенный краст из шкур крупного рогатого скота (включая буйволов) или животных семейства лошадиных, без волосяного покрова, двоеные или недвоеные, но без дальнейшей обработки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4106 31 000 0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Дубленая кожа из шкур свиней, без шерстного или волосяного покрова, двоеная или недвоеная, но без дальнейшей обработки, во влажном состоянии (включая хромированный полуфабрикат)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4106 32 000 0</w:t>
            </w:r>
          </w:p>
        </w:tc>
        <w:tc>
          <w:tcPr>
            <w:tcW w:w="10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Дубленая кожа из шкур свиней, без шерстного или волосяного покрова, двоеная или недвоеная, но без дальнейшей обработки, в сухом состоянии (краст)».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позициях с кодами «7208», «7209» и «7210» ТН ВЭД ТС слова «более 600 мм» заменить словами «600 мм».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