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98a5" w14:textId="5009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продукции, подлежащей обязательной оценке (подтверждению) соответствия в рамках Таможенного союза с выдачей единых документов, в отношении продукции, являющейся объектом технического регулирования технического регламента Таможенного союза "О требованиях к смазочным материалам, маслам и специальным жидкостям" (ТР ТС 030/2012)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2013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а также в связи  с вступлением в силу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требованиях к смазочным материалам, маслам и специальным жидкостям» (ТР ТС 030/2012)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Главу 19 </w:t>
      </w:r>
      <w:r>
        <w:rPr>
          <w:rFonts w:ascii="Times New Roman"/>
          <w:b w:val="false"/>
          <w:i w:val="false"/>
          <w:color w:val="000000"/>
          <w:sz w:val="28"/>
        </w:rPr>
        <w:t>Единого перечня продукции</w:t>
      </w:r>
      <w:r>
        <w:rPr>
          <w:rFonts w:ascii="Times New Roman"/>
          <w:b w:val="false"/>
          <w:i w:val="false"/>
          <w:color w:val="000000"/>
          <w:sz w:val="28"/>
        </w:rPr>
        <w:t>, подлежащей обязательной оценке (подтверждению) соответствия в рамках Таможенного союза с выдачей единых документов, утвержденного Решением Комиссии Таможенного союза от 7 апреля 2011 г. № 620,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марта 2014 г.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5733"/>
      </w:tblGrid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 экономической комиссии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