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2d17" w14:textId="5592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необходимости подготовки порядка разработки и реализации межгосударственных программ в рамках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19 февраля 2013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комиссии, основываясь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результатах анализа межгосударственных программ, реализуемых в рамках Союзного государства и Евразийского экономического сообщества, порядка их разработки и реализации, механизмов финансирования и оценки эффективности,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сотрудничества государств – членов Таможенного союза и Единого экономического пространства (далее – государства-члены) в научно-технической и инновационной сферах, а также обеспечения создания условий для социально-экономического развития государств-членов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 о необходимости подготовки порядка разработки и реализации межгосударственных программ в рамках Единого экономического пространства, включая механизм их финансирования, и представить в Евразийскую экономическую комиссию соответствующие предложения.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Т.Д.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