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2d17" w14:textId="5592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необходимости подготовки порядка разработки и реализации межгосударственных программ в рамках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Евразийской экономической комиссии от 19 февраля 2013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комиссии, основываясь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результатах анализа межгосударственных программ, реализуемых в рамках Союзного государства и Евразийского экономического сообщества, порядка их разработки и реализации, механизмов финансирования и оценки эффективности,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углубления сотрудничества государств – членов Таможенного союза и Единого экономического пространства (далее – государства-члены) в научно-технической и инновационной сферах, а также обеспечения создания условий для социально-экономического развития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Рассмотреть вопрос о необходимости подготовки порядка разработки и реализации межгосударственных программ в рамках Единого экономического пространства, включая механизм их финансирования, и представить в Евразийскую экономическую комиссию соответствующие предложения.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Т.Д. Валовая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