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bbb0" w14:textId="681b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разделении транспортных потоков в автомобильных пунктах пропуска через таможенную границу Таможенного союза и на подъездах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Евразийской экономической комиссии от 24 апреля 2013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ускорения прохождения товаров и транспортных средств и увеличения пропускной способности автомобильных пунктов пропуска через таможенную границу Таможенного союза (далее – пункты пропуска)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Таможенного союза и Единого экономического пространства: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или реконструкции пунктов пропуска осуществлять разделение транспортных потоков в пунктах пропуска и на подъездах к ним путем выделения отдельных полос движения для автобусного, легкового, грузового транспорта, транспорта, осуществляющего перемещение негабаритных товаров (грузов).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разделения транспортных потоков в пунктах пропуска и на подъездах к ним: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устанавливать информационно-указательные знаки, информирующие о предназначении полос движения транспортных средств, на каждой полосе движения при въезде в пункт пропуска;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создавать накопительные стоянки для транспортных средств в непосредственной близости от пунктов пропуска с вместимостью, определяемой исходя из суточной пропускной способности пунктов пропуска;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оснащать полосы движения транспортных средств в пунктах пропуска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Едиными типовыми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оборудованию и материально-техническому оснащению зданий, помещений и сооружений, необходимых для организации пограничного, таможенного, санитарно-карантинного, ветеринарного, карантинного фитосанитарного и транспортного контроля, осуществляемых в пунктах пропуска через внешнюю границу Таможенного союза, утвержденными Решением Комиссии Таможенного союза от 22 июня 2011 г. № 688;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производить работы по строительству или реконструкции пунктов пропуска и обустройству подъездов к ним единовременно;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 систему электронного бронирования времени для въезда в пункты пропуска («электронная очередь») с целью регулирования транспортных потоков.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Рекомендация вводится в действие с даты ее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