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012e" w14:textId="3bc0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решений Высшего Евразийского экономического совета от 19 декабря 2012 г. № 21 и от 29 мая 2013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реализации Решения Высшего Евразийского экономического совета от 19 декабря 2012 г. 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основных направлений интеграции» и Решения Высшего Евразийского экономического совета от 29 мая 2013 г.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направлениях дальнейшего развития интеграционных процессов»,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 – членов Таможенного союза и Единого экономического пространства поручить министерствам иностранных дел разработать институциональную часть проекта Договора о Евразийском экономическом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в срок до 15 июля 2013 г. направить государствам – членам Таможенного союза и Единого экономического пространства предварительный список изъятий и иных ограничений, в том числе барьеров, взаимного доступа субъектов предпринимательской деятельности на рынок государств – членов Таможенного союза и Единого экономического пространства (далее – Список), составленных на основе 17 соглашений Единого экономического пространства, Таможенного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других договоренностей по формированию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правительства государств – членов Таможенного союза и Единого экономического пространства рассмотреть указанный Список и в срок до 15 августа 2013 г. представить предложения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