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6480" w14:textId="35b6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итоговом отчете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декабря 2013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этапа 5 </w:t>
      </w:r>
      <w:r>
        <w:rPr>
          <w:rFonts w:ascii="Times New Roman"/>
          <w:b w:val="false"/>
          <w:i w:val="false"/>
          <w:color w:val="000000"/>
          <w:sz w:val="28"/>
        </w:rPr>
        <w:t>Поэтапного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экономического пространства в отношении сфер естественных монополий (в секторальном (отраслевом) разрезе), утвержденного Решением Коллегии Евразийской экономической комиссии от 5 февраля 2013 г. № 14,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итоговом отчете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      20  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итоговом отчете по исполнению Поэтапного плана формирования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в отношении сфер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(в секторальном (отраслевом) разрезе)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итоговый отчет по исполнению Поэтапного плана формирования Единого экономического пространства в отношении сфер естественных монополий(в секторальном (отраслевом) разрезе).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      201  г. №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  <w:r>
        <w:br/>
      </w:r>
      <w:r>
        <w:rPr>
          <w:rFonts w:ascii="Times New Roman"/>
          <w:b/>
          <w:i w:val="false"/>
          <w:color w:val="000000"/>
        </w:rPr>
        <w:t>
по исполнению Поэтапного плана формирования Единого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пространства в отношении сфер естественных</w:t>
      </w:r>
      <w:r>
        <w:br/>
      </w:r>
      <w:r>
        <w:rPr>
          <w:rFonts w:ascii="Times New Roman"/>
          <w:b/>
          <w:i w:val="false"/>
          <w:color w:val="000000"/>
        </w:rPr>
        <w:t>
монополий (в секторальном (отраслевом) разрезе)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Поэтапный план формирования Единого экономического пространства в отношении сфер естественных монополий (в секторальном (отраслевом) разрезе),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февраля 2013 г. № 14 (далее – Поэтапный план), предусматривает исполнение 17 мероприятий, сгруппированных в 5 этапов, с конечным сроком выполнения в марте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мероприятий этапа 1 Поэтапного плана государствами – членами Таможенного союза и Единого экономического пространства (далее – государства-члены):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установлены критерии определения приоритетных сфер естественных монополий, подлежащих первоочередному сближению;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 сравнительный анализ сфер естественных монополий на предмет приоритетности;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сформирован перечень приоритетных сфер естественных монополий, подлежащих гармонизации.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мероприятий этапа 2 Поэтапного плана государствами-членами проведен анализ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 (далее – Соглашение о естественных монополиях) и международных договоров в сфере естественных монополий на предмет обязательных (императивных) норм, которые отражаются в законодательстве государств-членов, и диспозитивных (вариативных, дополнительных) норм, которые могут быть отражены в законодательстве государств-членов с учетом страновой, отраслевой и иной специфики – сроков и условий реализации этапов формирования Единого экономического пространства в соответствии со следующими международными договорами: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регулировании доступа к услугам железнодорожного транспорта, включая основы тарифной политики,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 (далее – Соглашение по электроэнергетике).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позиция государств-членов о необходимости имплементации в законодательство государств-членов Методологии осуществления межгосударственной передачи электроэнергии (мощности) между государствами – участниками Единого экономического пространства, являющейся приложением к Соглашению по электроэнергетике, а также понятий, используемых в Соглашении о регулировании доступа к услугам железнодорожного транспорта, включая основы тарифной политики, от 9 декабря 2010 года, не сформирована в связи с особенностями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на основе разработанной формы провели анализ законодательства государств-членов на предмет соответствия требованиям Соглашения о естественных монополиях с учетом положений отраслевых соглашений (этап 3 Поэтапного плана).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этапа 4 Поэтапного плана государствами-членами подготовлены предложения и обоснования по гармонизации своего законодательства в области регулирования деятельности субъектов естественных монополий, в частности, по внесению в нормативные правовые акты государств-членов изменений, в том числе направленных на распространение лучшей практики регулирования и (или) контроля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 Евразийская экономическая комиссия направила государствам-членам предложения по гармонизации законодательства в области регулирования деятельности субъектов естественных монополий в части системы раскрытия информации, энергоэффективности и экологических аспектов.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в рамках этапа 5 Поэтапного плана государствами-членами сформирован перечень нормативных правовых актов государств-членов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взаимодействия Евразийской экономической комиссии и уполномоченных органов государств-членов по реализации положений Соглашения о естественных монополиях Решением Совета Евразийской экономической комиссии от 24 октября 2013 г. № 73 утвержден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Евразийской экономической комиссией с государствами – членами Таможенного союза и Единого экономического пространства (национальными уполномоченными органами государств-членов) отчетов, материалов, информации, а также иных документов, касающихся сфер естественных монополий.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