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b407b" w14:textId="80b40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форме уведомления об объемах государственной поддержки сельского хозяйства государства - члена Таможенного союза и Единого экономического пространства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Коллегии Евразийской экономической комиссии от 2 июля 2014 года № 96. Утратило силу решением Совета Евразийской экономической комиссии от 18 октября 2016 года № 163.</w:t>
      </w:r>
    </w:p>
    <w:p>
      <w:pPr>
        <w:spacing w:after="0"/>
        <w:ind w:left="0"/>
        <w:jc w:val="both"/>
      </w:pPr>
      <w:r>
        <w:rPr>
          <w:rFonts w:ascii="Times New Roman"/>
          <w:b w:val="false"/>
          <w:i w:val="false"/>
          <w:color w:val="ff0000"/>
          <w:sz w:val="28"/>
        </w:rPr>
        <w:t xml:space="preserve">
      Сноска. Утратило силу решением Совета Евразийской экономической комиссии от 18.10.2016 </w:t>
      </w:r>
      <w:r>
        <w:rPr>
          <w:rFonts w:ascii="Times New Roman"/>
          <w:b w:val="false"/>
          <w:i w:val="false"/>
          <w:color w:val="ff0000"/>
          <w:sz w:val="28"/>
        </w:rPr>
        <w:t>№ 163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Приняв к сведению информацию члена Коллегии (Министра) по промышленности и агропромышленному комплексу Евразийской экономической комиссии Сидорского С.С. о необходимости обеспечения полноты и объективности информации об объемах государственной поддержки сельского хозяйства, в целях реализации положения </w:t>
      </w:r>
      <w:r>
        <w:rPr>
          <w:rFonts w:ascii="Times New Roman"/>
          <w:b w:val="false"/>
          <w:i w:val="false"/>
          <w:color w:val="000000"/>
          <w:sz w:val="28"/>
        </w:rPr>
        <w:t>пункта 4</w:t>
      </w:r>
      <w:r>
        <w:rPr>
          <w:rFonts w:ascii="Times New Roman"/>
          <w:b w:val="false"/>
          <w:i w:val="false"/>
          <w:color w:val="000000"/>
          <w:sz w:val="28"/>
        </w:rPr>
        <w:t xml:space="preserve"> статьи 7 Соглашения о единых правилах государственной поддержки сельского хозяйства от 9 декабря 2010 года Коллегия Евразийской экономической комиссии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форму</w:t>
      </w:r>
      <w:r>
        <w:rPr>
          <w:rFonts w:ascii="Times New Roman"/>
          <w:b w:val="false"/>
          <w:i w:val="false"/>
          <w:color w:val="000000"/>
          <w:sz w:val="28"/>
        </w:rPr>
        <w:t xml:space="preserve"> уведомления об объемах государственной поддержки сельского хозяйства государства – члена Таможенного союза и Единого экономического пространства.</w:t>
      </w:r>
    </w:p>
    <w:bookmarkEnd w:id="1"/>
    <w:bookmarkStart w:name="z3" w:id="2"/>
    <w:p>
      <w:pPr>
        <w:spacing w:after="0"/>
        <w:ind w:left="0"/>
        <w:jc w:val="both"/>
      </w:pPr>
      <w:r>
        <w:rPr>
          <w:rFonts w:ascii="Times New Roman"/>
          <w:b w:val="false"/>
          <w:i w:val="false"/>
          <w:color w:val="000000"/>
          <w:sz w:val="28"/>
        </w:rPr>
        <w:t>
      2. Государствам – членам Таможенного союза и Единого экономического пространства при подготовке уведомлений о государственной поддержке сельского хозяйства в соответствии с пунктом 4 статьи 7 Соглашения о единых правилах государственной поддержки сельского хозяйства от 9 декабря 2010 года руководствоваться формой, утвержденной настоящим Решением.</w:t>
      </w:r>
    </w:p>
    <w:bookmarkEnd w:id="2"/>
    <w:bookmarkStart w:name="z4" w:id="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октября 2011 г. № 813 "О ходе выполнения плана действий по формированию Единого экономического пространства </w:t>
      </w:r>
    </w:p>
    <w:bookmarkEnd w:id="3"/>
    <w:p>
      <w:pPr>
        <w:spacing w:after="0"/>
        <w:ind w:left="0"/>
        <w:jc w:val="both"/>
      </w:pPr>
      <w:r>
        <w:rPr>
          <w:rFonts w:ascii="Times New Roman"/>
          <w:b w:val="false"/>
          <w:i w:val="false"/>
          <w:color w:val="000000"/>
          <w:sz w:val="28"/>
        </w:rPr>
        <w:t>
      Республики Беларусь, Республики Казахстан и Российской Федерации".</w:t>
      </w:r>
    </w:p>
    <w:bookmarkStart w:name="z5" w:id="4"/>
    <w:p>
      <w:pPr>
        <w:spacing w:after="0"/>
        <w:ind w:left="0"/>
        <w:jc w:val="both"/>
      </w:pPr>
      <w:r>
        <w:rPr>
          <w:rFonts w:ascii="Times New Roman"/>
          <w:b w:val="false"/>
          <w:i w:val="false"/>
          <w:color w:val="000000"/>
          <w:sz w:val="28"/>
        </w:rPr>
        <w:t>
      4. Настоящее Решение вступает в силу по истечении 30 календарных дней с даты его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Евразийской экономической комиссии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Христенко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 июля 2014 г. № 96</w:t>
            </w:r>
          </w:p>
        </w:tc>
      </w:tr>
    </w:tbl>
    <w:bookmarkStart w:name="z7" w:id="5"/>
    <w:p>
      <w:pPr>
        <w:spacing w:after="0"/>
        <w:ind w:left="0"/>
        <w:jc w:val="left"/>
      </w:pPr>
      <w:r>
        <w:rPr>
          <w:rFonts w:ascii="Times New Roman"/>
          <w:b/>
          <w:i w:val="false"/>
          <w:color w:val="000000"/>
        </w:rPr>
        <w:t xml:space="preserve"> ФОРМА</w:t>
      </w:r>
      <w:r>
        <w:br/>
      </w:r>
      <w:r>
        <w:rPr>
          <w:rFonts w:ascii="Times New Roman"/>
          <w:b/>
          <w:i w:val="false"/>
          <w:color w:val="000000"/>
        </w:rPr>
        <w:t>уведомления об объемах государственной поддержки</w:t>
      </w:r>
      <w:r>
        <w:br/>
      </w:r>
      <w:r>
        <w:rPr>
          <w:rFonts w:ascii="Times New Roman"/>
          <w:b/>
          <w:i w:val="false"/>
          <w:color w:val="000000"/>
        </w:rPr>
        <w:t>сельского хозяйства государства – члена Таможенного</w:t>
      </w:r>
      <w:r>
        <w:br/>
      </w:r>
      <w:r>
        <w:rPr>
          <w:rFonts w:ascii="Times New Roman"/>
          <w:b/>
          <w:i w:val="false"/>
          <w:color w:val="000000"/>
        </w:rPr>
        <w:t>союза и Единого экономического пространства</w:t>
      </w:r>
      <w:r>
        <w:br/>
      </w:r>
      <w:r>
        <w:rPr>
          <w:rFonts w:ascii="Times New Roman"/>
          <w:b/>
          <w:i w:val="false"/>
          <w:color w:val="000000"/>
        </w:rPr>
        <w:t>за 20__ год</w:t>
      </w:r>
      <w:r>
        <w:rPr>
          <w:rFonts w:ascii="Times New Roman"/>
          <w:b/>
          <w:i w:val="false"/>
          <w:color w:val="000000"/>
          <w:vertAlign w:val="superscript"/>
        </w:rPr>
        <w:t>1</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w:t>
            </w:r>
          </w:p>
          <w:p>
            <w:pPr>
              <w:spacing w:after="20"/>
              <w:ind w:left="20"/>
              <w:jc w:val="both"/>
            </w:pPr>
            <w:r>
              <w:rPr>
                <w:rFonts w:ascii="Times New Roman"/>
                <w:b w:val="false"/>
                <w:i w:val="false"/>
                <w:color w:val="000000"/>
                <w:sz w:val="20"/>
              </w:rPr>
              <w:t>
и меры</w:t>
            </w:r>
          </w:p>
          <w:p>
            <w:pPr>
              <w:spacing w:after="20"/>
              <w:ind w:left="20"/>
              <w:jc w:val="both"/>
            </w:pPr>
            <w:r>
              <w:rPr>
                <w:rFonts w:ascii="Times New Roman"/>
                <w:b w:val="false"/>
                <w:i w:val="false"/>
                <w:color w:val="000000"/>
                <w:sz w:val="20"/>
              </w:rPr>
              <w:t>
государственной</w:t>
            </w:r>
          </w:p>
          <w:p>
            <w:pPr>
              <w:spacing w:after="20"/>
              <w:ind w:left="20"/>
              <w:jc w:val="both"/>
            </w:pPr>
            <w:r>
              <w:rPr>
                <w:rFonts w:ascii="Times New Roman"/>
                <w:b w:val="false"/>
                <w:i w:val="false"/>
                <w:color w:val="000000"/>
                <w:sz w:val="20"/>
              </w:rPr>
              <w:t>
поддержки</w:t>
            </w:r>
          </w:p>
          <w:p>
            <w:pPr>
              <w:spacing w:after="20"/>
              <w:ind w:left="20"/>
              <w:jc w:val="both"/>
            </w:pPr>
            <w:r>
              <w:rPr>
                <w:rFonts w:ascii="Times New Roman"/>
                <w:b w:val="false"/>
                <w:i w:val="false"/>
                <w:color w:val="000000"/>
                <w:sz w:val="20"/>
              </w:rPr>
              <w:t>
сельского</w:t>
            </w:r>
          </w:p>
          <w:p>
            <w:pPr>
              <w:spacing w:after="20"/>
              <w:ind w:left="20"/>
              <w:jc w:val="both"/>
            </w:pPr>
            <w:r>
              <w:rPr>
                <w:rFonts w:ascii="Times New Roman"/>
                <w:b w:val="false"/>
                <w:i w:val="false"/>
                <w:color w:val="000000"/>
                <w:sz w:val="20"/>
              </w:rPr>
              <w:t>
хозяйства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p>
            <w:pPr>
              <w:spacing w:after="20"/>
              <w:ind w:left="20"/>
              <w:jc w:val="both"/>
            </w:pPr>
            <w:r>
              <w:rPr>
                <w:rFonts w:ascii="Times New Roman"/>
                <w:b w:val="false"/>
                <w:i w:val="false"/>
                <w:color w:val="000000"/>
                <w:sz w:val="20"/>
              </w:rPr>
              <w:t>
подразделы,</w:t>
            </w:r>
          </w:p>
          <w:p>
            <w:pPr>
              <w:spacing w:after="20"/>
              <w:ind w:left="20"/>
              <w:jc w:val="both"/>
            </w:pPr>
            <w:r>
              <w:rPr>
                <w:rFonts w:ascii="Times New Roman"/>
                <w:b w:val="false"/>
                <w:i w:val="false"/>
                <w:color w:val="000000"/>
                <w:sz w:val="20"/>
              </w:rPr>
              <w:t>
виды</w:t>
            </w:r>
          </w:p>
          <w:p>
            <w:pPr>
              <w:spacing w:after="20"/>
              <w:ind w:left="20"/>
              <w:jc w:val="both"/>
            </w:pPr>
            <w:r>
              <w:rPr>
                <w:rFonts w:ascii="Times New Roman"/>
                <w:b w:val="false"/>
                <w:i w:val="false"/>
                <w:color w:val="000000"/>
                <w:sz w:val="20"/>
              </w:rPr>
              <w:t>
функциональной</w:t>
            </w:r>
          </w:p>
          <w:p>
            <w:pPr>
              <w:spacing w:after="20"/>
              <w:ind w:left="20"/>
              <w:jc w:val="both"/>
            </w:pPr>
            <w:r>
              <w:rPr>
                <w:rFonts w:ascii="Times New Roman"/>
                <w:b w:val="false"/>
                <w:i w:val="false"/>
                <w:color w:val="000000"/>
                <w:sz w:val="20"/>
              </w:rPr>
              <w:t>
и ведомственной</w:t>
            </w:r>
          </w:p>
          <w:p>
            <w:pPr>
              <w:spacing w:after="20"/>
              <w:ind w:left="20"/>
              <w:jc w:val="both"/>
            </w:pPr>
            <w:r>
              <w:rPr>
                <w:rFonts w:ascii="Times New Roman"/>
                <w:b w:val="false"/>
                <w:i w:val="false"/>
                <w:color w:val="000000"/>
                <w:sz w:val="20"/>
              </w:rPr>
              <w:t>
классификации</w:t>
            </w:r>
          </w:p>
          <w:p>
            <w:pPr>
              <w:spacing w:after="20"/>
              <w:ind w:left="20"/>
              <w:jc w:val="both"/>
            </w:pPr>
            <w:r>
              <w:rPr>
                <w:rFonts w:ascii="Times New Roman"/>
                <w:b w:val="false"/>
                <w:i w:val="false"/>
                <w:color w:val="000000"/>
                <w:sz w:val="20"/>
              </w:rPr>
              <w:t>
расходов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предоставления государственной поддержки сельского хозяйства (в национальной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w:t>
            </w:r>
          </w:p>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Российской</w:t>
            </w:r>
          </w:p>
          <w:p>
            <w:pPr>
              <w:spacing w:after="20"/>
              <w:ind w:left="20"/>
              <w:jc w:val="both"/>
            </w:pPr>
            <w:r>
              <w:rPr>
                <w:rFonts w:ascii="Times New Roman"/>
                <w:b w:val="false"/>
                <w:i w:val="false"/>
                <w:color w:val="000000"/>
                <w:sz w:val="20"/>
              </w:rPr>
              <w:t>
Федерации,</w:t>
            </w:r>
          </w:p>
          <w:p>
            <w:pPr>
              <w:spacing w:after="20"/>
              <w:ind w:left="20"/>
              <w:jc w:val="both"/>
            </w:pPr>
            <w:r>
              <w:rPr>
                <w:rFonts w:ascii="Times New Roman"/>
                <w:b w:val="false"/>
                <w:i w:val="false"/>
                <w:color w:val="000000"/>
                <w:sz w:val="20"/>
              </w:rPr>
              <w:t>
республиканские</w:t>
            </w:r>
          </w:p>
          <w:p>
            <w:pPr>
              <w:spacing w:after="20"/>
              <w:ind w:left="20"/>
              <w:jc w:val="both"/>
            </w:pPr>
            <w:r>
              <w:rPr>
                <w:rFonts w:ascii="Times New Roman"/>
                <w:b w:val="false"/>
                <w:i w:val="false"/>
                <w:color w:val="000000"/>
                <w:sz w:val="20"/>
              </w:rPr>
              <w:t>
бюджеты</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Беларусь</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бюджеты</w:t>
            </w:r>
          </w:p>
          <w:p>
            <w:pPr>
              <w:spacing w:after="20"/>
              <w:ind w:left="20"/>
              <w:jc w:val="both"/>
            </w:pPr>
            <w:r>
              <w:rPr>
                <w:rFonts w:ascii="Times New Roman"/>
                <w:b w:val="false"/>
                <w:i w:val="false"/>
                <w:color w:val="000000"/>
                <w:sz w:val="20"/>
              </w:rPr>
              <w:t>
субъектов</w:t>
            </w:r>
          </w:p>
          <w:p>
            <w:pPr>
              <w:spacing w:after="20"/>
              <w:ind w:left="20"/>
              <w:jc w:val="both"/>
            </w:pPr>
            <w:r>
              <w:rPr>
                <w:rFonts w:ascii="Times New Roman"/>
                <w:b w:val="false"/>
                <w:i w:val="false"/>
                <w:color w:val="000000"/>
                <w:sz w:val="20"/>
              </w:rPr>
              <w:t>
Российской</w:t>
            </w:r>
          </w:p>
          <w:p>
            <w:pPr>
              <w:spacing w:after="20"/>
              <w:ind w:left="20"/>
              <w:jc w:val="both"/>
            </w:pPr>
            <w:r>
              <w:rPr>
                <w:rFonts w:ascii="Times New Roman"/>
                <w:b w:val="false"/>
                <w:i w:val="false"/>
                <w:color w:val="000000"/>
                <w:sz w:val="20"/>
              </w:rPr>
              <w:t xml:space="preserve">
Федерации, </w:t>
            </w:r>
          </w:p>
          <w:p>
            <w:pPr>
              <w:spacing w:after="20"/>
              <w:ind w:left="20"/>
              <w:jc w:val="both"/>
            </w:pPr>
            <w:r>
              <w:rPr>
                <w:rFonts w:ascii="Times New Roman"/>
                <w:b w:val="false"/>
                <w:i w:val="false"/>
                <w:color w:val="000000"/>
                <w:sz w:val="20"/>
              </w:rPr>
              <w:t>
местные</w:t>
            </w:r>
          </w:p>
          <w:p>
            <w:pPr>
              <w:spacing w:after="20"/>
              <w:ind w:left="20"/>
              <w:jc w:val="both"/>
            </w:pPr>
            <w:r>
              <w:rPr>
                <w:rFonts w:ascii="Times New Roman"/>
                <w:b w:val="false"/>
                <w:i w:val="false"/>
                <w:color w:val="000000"/>
                <w:sz w:val="20"/>
              </w:rPr>
              <w:t>
бюджеты</w:t>
            </w:r>
          </w:p>
          <w:p>
            <w:pPr>
              <w:spacing w:after="20"/>
              <w:ind w:left="20"/>
              <w:jc w:val="both"/>
            </w:pPr>
            <w:r>
              <w:rPr>
                <w:rFonts w:ascii="Times New Roman"/>
                <w:b w:val="false"/>
                <w:i w:val="false"/>
                <w:color w:val="000000"/>
                <w:sz w:val="20"/>
              </w:rPr>
              <w:t>
областного</w:t>
            </w:r>
          </w:p>
          <w:p>
            <w:pPr>
              <w:spacing w:after="20"/>
              <w:ind w:left="20"/>
              <w:jc w:val="both"/>
            </w:pPr>
            <w:r>
              <w:rPr>
                <w:rFonts w:ascii="Times New Roman"/>
                <w:b w:val="false"/>
                <w:i w:val="false"/>
                <w:color w:val="000000"/>
                <w:sz w:val="20"/>
              </w:rPr>
              <w:t>
уровня</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xml:space="preserve">
Беларусь, </w:t>
            </w:r>
          </w:p>
          <w:p>
            <w:pPr>
              <w:spacing w:after="20"/>
              <w:ind w:left="20"/>
              <w:jc w:val="both"/>
            </w:pPr>
            <w:r>
              <w:rPr>
                <w:rFonts w:ascii="Times New Roman"/>
                <w:b w:val="false"/>
                <w:i w:val="false"/>
                <w:color w:val="000000"/>
                <w:sz w:val="20"/>
              </w:rPr>
              <w:t>
областные</w:t>
            </w:r>
          </w:p>
          <w:p>
            <w:pPr>
              <w:spacing w:after="20"/>
              <w:ind w:left="20"/>
              <w:jc w:val="both"/>
            </w:pPr>
            <w:r>
              <w:rPr>
                <w:rFonts w:ascii="Times New Roman"/>
                <w:b w:val="false"/>
                <w:i w:val="false"/>
                <w:color w:val="000000"/>
                <w:sz w:val="20"/>
              </w:rPr>
              <w:t>
бюджеты,</w:t>
            </w:r>
          </w:p>
          <w:p>
            <w:pPr>
              <w:spacing w:after="20"/>
              <w:ind w:left="20"/>
              <w:jc w:val="both"/>
            </w:pPr>
            <w:r>
              <w:rPr>
                <w:rFonts w:ascii="Times New Roman"/>
                <w:b w:val="false"/>
                <w:i w:val="false"/>
                <w:color w:val="000000"/>
                <w:sz w:val="20"/>
              </w:rPr>
              <w:t>
бюджеты</w:t>
            </w:r>
          </w:p>
          <w:p>
            <w:pPr>
              <w:spacing w:after="20"/>
              <w:ind w:left="20"/>
              <w:jc w:val="both"/>
            </w:pPr>
            <w:r>
              <w:rPr>
                <w:rFonts w:ascii="Times New Roman"/>
                <w:b w:val="false"/>
                <w:i w:val="false"/>
                <w:color w:val="000000"/>
                <w:sz w:val="20"/>
              </w:rPr>
              <w:t>
города</w:t>
            </w:r>
          </w:p>
          <w:p>
            <w:pPr>
              <w:spacing w:after="20"/>
              <w:ind w:left="20"/>
              <w:jc w:val="both"/>
            </w:pPr>
            <w:r>
              <w:rPr>
                <w:rFonts w:ascii="Times New Roman"/>
                <w:b w:val="false"/>
                <w:i w:val="false"/>
                <w:color w:val="000000"/>
                <w:sz w:val="20"/>
              </w:rPr>
              <w:t>
республиканского</w:t>
            </w:r>
          </w:p>
          <w:p>
            <w:pPr>
              <w:spacing w:after="20"/>
              <w:ind w:left="20"/>
              <w:jc w:val="both"/>
            </w:pPr>
            <w:r>
              <w:rPr>
                <w:rFonts w:ascii="Times New Roman"/>
                <w:b w:val="false"/>
                <w:i w:val="false"/>
                <w:color w:val="000000"/>
                <w:sz w:val="20"/>
              </w:rPr>
              <w:t>
значения,</w:t>
            </w:r>
          </w:p>
          <w:p>
            <w:pPr>
              <w:spacing w:after="20"/>
              <w:ind w:left="20"/>
              <w:jc w:val="both"/>
            </w:pPr>
            <w:r>
              <w:rPr>
                <w:rFonts w:ascii="Times New Roman"/>
                <w:b w:val="false"/>
                <w:i w:val="false"/>
                <w:color w:val="000000"/>
                <w:sz w:val="20"/>
              </w:rPr>
              <w:t>
столицы</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w:t>
            </w:r>
          </w:p>
          <w:p>
            <w:pPr>
              <w:spacing w:after="20"/>
              <w:ind w:left="20"/>
              <w:jc w:val="both"/>
            </w:pPr>
            <w:r>
              <w:rPr>
                <w:rFonts w:ascii="Times New Roman"/>
                <w:b w:val="false"/>
                <w:i w:val="false"/>
                <w:color w:val="000000"/>
                <w:sz w:val="20"/>
              </w:rPr>
              <w:t>
бюджеты</w:t>
            </w:r>
          </w:p>
          <w:p>
            <w:pPr>
              <w:spacing w:after="20"/>
              <w:ind w:left="20"/>
              <w:jc w:val="both"/>
            </w:pPr>
            <w:r>
              <w:rPr>
                <w:rFonts w:ascii="Times New Roman"/>
                <w:b w:val="false"/>
                <w:i w:val="false"/>
                <w:color w:val="000000"/>
                <w:sz w:val="20"/>
              </w:rPr>
              <w:t>
Российской</w:t>
            </w:r>
          </w:p>
          <w:p>
            <w:pPr>
              <w:spacing w:after="20"/>
              <w:ind w:left="20"/>
              <w:jc w:val="both"/>
            </w:pPr>
            <w:r>
              <w:rPr>
                <w:rFonts w:ascii="Times New Roman"/>
                <w:b w:val="false"/>
                <w:i w:val="false"/>
                <w:color w:val="000000"/>
                <w:sz w:val="20"/>
              </w:rPr>
              <w:t>
Федерации,</w:t>
            </w:r>
          </w:p>
          <w:p>
            <w:pPr>
              <w:spacing w:after="20"/>
              <w:ind w:left="20"/>
              <w:jc w:val="both"/>
            </w:pPr>
            <w:r>
              <w:rPr>
                <w:rFonts w:ascii="Times New Roman"/>
                <w:b w:val="false"/>
                <w:i w:val="false"/>
                <w:color w:val="000000"/>
                <w:sz w:val="20"/>
              </w:rPr>
              <w:t>
местные</w:t>
            </w:r>
          </w:p>
          <w:p>
            <w:pPr>
              <w:spacing w:after="20"/>
              <w:ind w:left="20"/>
              <w:jc w:val="both"/>
            </w:pPr>
            <w:r>
              <w:rPr>
                <w:rFonts w:ascii="Times New Roman"/>
                <w:b w:val="false"/>
                <w:i w:val="false"/>
                <w:color w:val="000000"/>
                <w:sz w:val="20"/>
              </w:rPr>
              <w:t>
бюджеты</w:t>
            </w:r>
          </w:p>
          <w:p>
            <w:pPr>
              <w:spacing w:after="20"/>
              <w:ind w:left="20"/>
              <w:jc w:val="both"/>
            </w:pPr>
            <w:r>
              <w:rPr>
                <w:rFonts w:ascii="Times New Roman"/>
                <w:b w:val="false"/>
                <w:i w:val="false"/>
                <w:color w:val="000000"/>
                <w:sz w:val="20"/>
              </w:rPr>
              <w:t>
базового</w:t>
            </w:r>
          </w:p>
          <w:p>
            <w:pPr>
              <w:spacing w:after="20"/>
              <w:ind w:left="20"/>
              <w:jc w:val="both"/>
            </w:pPr>
            <w:r>
              <w:rPr>
                <w:rFonts w:ascii="Times New Roman"/>
                <w:b w:val="false"/>
                <w:i w:val="false"/>
                <w:color w:val="000000"/>
                <w:sz w:val="20"/>
              </w:rPr>
              <w:t>
и первичного</w:t>
            </w:r>
          </w:p>
          <w:p>
            <w:pPr>
              <w:spacing w:after="20"/>
              <w:ind w:left="20"/>
              <w:jc w:val="both"/>
            </w:pPr>
            <w:r>
              <w:rPr>
                <w:rFonts w:ascii="Times New Roman"/>
                <w:b w:val="false"/>
                <w:i w:val="false"/>
                <w:color w:val="000000"/>
                <w:sz w:val="20"/>
              </w:rPr>
              <w:t>
уровней</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xml:space="preserve">
Беларусь, </w:t>
            </w:r>
          </w:p>
          <w:p>
            <w:pPr>
              <w:spacing w:after="20"/>
              <w:ind w:left="20"/>
              <w:jc w:val="both"/>
            </w:pPr>
            <w:r>
              <w:rPr>
                <w:rFonts w:ascii="Times New Roman"/>
                <w:b w:val="false"/>
                <w:i w:val="false"/>
                <w:color w:val="000000"/>
                <w:sz w:val="20"/>
              </w:rPr>
              <w:t>
бюджеты</w:t>
            </w:r>
          </w:p>
          <w:p>
            <w:pPr>
              <w:spacing w:after="20"/>
              <w:ind w:left="20"/>
              <w:jc w:val="both"/>
            </w:pPr>
            <w:r>
              <w:rPr>
                <w:rFonts w:ascii="Times New Roman"/>
                <w:b w:val="false"/>
                <w:i w:val="false"/>
                <w:color w:val="000000"/>
                <w:sz w:val="20"/>
              </w:rPr>
              <w:t>
районов</w:t>
            </w:r>
          </w:p>
          <w:p>
            <w:pPr>
              <w:spacing w:after="20"/>
              <w:ind w:left="20"/>
              <w:jc w:val="both"/>
            </w:pPr>
            <w:r>
              <w:rPr>
                <w:rFonts w:ascii="Times New Roman"/>
                <w:b w:val="false"/>
                <w:i w:val="false"/>
                <w:color w:val="000000"/>
                <w:sz w:val="20"/>
              </w:rPr>
              <w:t>
(городов</w:t>
            </w:r>
          </w:p>
          <w:p>
            <w:pPr>
              <w:spacing w:after="20"/>
              <w:ind w:left="20"/>
              <w:jc w:val="both"/>
            </w:pPr>
            <w:r>
              <w:rPr>
                <w:rFonts w:ascii="Times New Roman"/>
                <w:b w:val="false"/>
                <w:i w:val="false"/>
                <w:color w:val="000000"/>
                <w:sz w:val="20"/>
              </w:rPr>
              <w:t>
областного</w:t>
            </w:r>
          </w:p>
          <w:p>
            <w:pPr>
              <w:spacing w:after="20"/>
              <w:ind w:left="20"/>
              <w:jc w:val="both"/>
            </w:pPr>
            <w:r>
              <w:rPr>
                <w:rFonts w:ascii="Times New Roman"/>
                <w:b w:val="false"/>
                <w:i w:val="false"/>
                <w:color w:val="000000"/>
                <w:sz w:val="20"/>
              </w:rPr>
              <w:t>
значения)</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Меры государственной поддержки, не оказывающие искажающего воздействия на взаимную торговлю государств – членов Таможенного союза и Единого экономического пространства (далее – государства-члены) сельскохозяйственными товарами, указанными</w:t>
            </w:r>
          </w:p>
        </w:tc>
      </w:tr>
    </w:tbl>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приложении 1 к Соглашению о единых правилах государственной поддержки сельского хозяйства от 9 декабря 2010 года</w:t>
            </w:r>
          </w:p>
          <w:p>
            <w:pPr>
              <w:spacing w:after="20"/>
              <w:ind w:left="20"/>
              <w:jc w:val="both"/>
            </w:pPr>
            <w:r>
              <w:rPr>
                <w:rFonts w:ascii="Times New Roman"/>
                <w:b w:val="false"/>
                <w:i w:val="false"/>
                <w:color w:val="000000"/>
                <w:sz w:val="20"/>
              </w:rPr>
              <w:t>
(далее – сельскохозяйственные товары)</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Научные исследования, в том числе общего характера, исследования в связи с программами охраны окружающей среды и исследовательские программы по сельскохозяйственным товарам</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Борьба с вредителями и болезнями, включая общие меры борьбы с вредителями и болезнями, а также меры, относящиеся к сельскохозяйственному товару (например, </w:t>
            </w:r>
          </w:p>
          <w:p>
            <w:pPr>
              <w:spacing w:after="20"/>
              <w:ind w:left="20"/>
              <w:jc w:val="both"/>
            </w:pPr>
            <w:r>
              <w:rPr>
                <w:rFonts w:ascii="Times New Roman"/>
                <w:b w:val="false"/>
                <w:i w:val="false"/>
                <w:color w:val="000000"/>
                <w:sz w:val="20"/>
              </w:rPr>
              <w:t>
системы раннего предупреждения, карантин, уничтожение)</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Общая и специальная подготовка кадров</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Распространение информации, консультативные услуги, включая предоставление средств для облегчения передачи информации и результатов исследований производителям и потребителям сельскохозяйственных товаров</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Инспекционные услуги, включая общие инспекционные услуги и проверку конкретных сельскохозяйственных товаров для целей здравоохранения, безопасности, стандартизации и сортировки по качеству</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Услуги по маркетингу и продвижению сельскохозяйственных товаров, включая маркетинговую информацию, консультации и продвижение сельскохозяйственных товаров (исключая расходы на неконкретные цели, которые могут быть использованы продавцами для снижения цен реализации сельскохозяйственных товаров или предоставления покупателям прямых экономических льгот)</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Услуги, связанные с инфраструктурой, включая электроснабжение, дороги и другие пути сообщения, рыночное и портовое оборудование, водоснабжение, плотины и дренажные системы, а также работы по созданию инфраструктуры в сочетании с программами по охране окружающей среды</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Создание государственных резервов для обеспечения продовольственной безопасности</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Внутренняя продовольственная помощь нуждающейся части населения</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Прямые выплаты производителям сельскохозяйственных товаров3</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"Несвязанная" поддержка доходов</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Финансовое участие органов государственной власти государств-членов в программах страхования и обеспечения безопасности доходов</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Выплаты, осуществляемые напрямую либо путем финансового участия органов государственной власти государств-членов или уполномоченных ими организаций в программах страхования урожая сельскохозяйственных культур и животных в порядке помощи при стихийных бедствиях</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Содействие структурным изменениям посредством реализации программ, побуждающих производителей прекратить свою деятельность</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Содействие структурным изменениям посредством реализации программ по прекращению использования ресурсов</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Содействие структурным изменениям посредством стимулирования инвестиций</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Платежи по программам охраны окружающей среды</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Выплаты по программам региональной помощи</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разделу I</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Меры государственной поддержки, в наибольшей степени оказывающие искажающее воздействие на взаимную торговлю государств-членов сельскохозяйственными товарами4</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Прямые выплаты (включая платежи в натуральном выражении) производителям, группе или объединению производителей сельскохозяйственных товаров в зависимости от результатов вывоза таких товаров на территорию другого государства-члена</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Продажа или предложение на вывоз на территорию другого государства-члена некоммерческих запасов сельскохозяйственных товаров6 по ценам ниже цен на аналогичный товар, предлагаемый покупателям на внутреннем рынке государства-члена</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Выплаты при вывозе на территорию другого государства-члена сельскохозяйственных товаров, которые финансируются при поддержке правительства государства-члена за счет государственных или негосударственных средств, включая выплаты за счет выручки от сборов на сельскохозяйственный товар</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Предоставление государственной поддержки для снижения затрат на маркетинг и продвижение сельскохозяйственных товаров для вывоза на территорию другого государства-члена </w:t>
            </w:r>
          </w:p>
          <w:p>
            <w:pPr>
              <w:spacing w:after="20"/>
              <w:ind w:left="20"/>
              <w:jc w:val="both"/>
            </w:pPr>
            <w:r>
              <w:rPr>
                <w:rFonts w:ascii="Times New Roman"/>
                <w:b w:val="false"/>
                <w:i w:val="false"/>
                <w:color w:val="000000"/>
                <w:sz w:val="20"/>
              </w:rPr>
              <w:t>
(за исключением услуг по содействию развитию экспорта и консультационных услуг), включая расходы на погрузочно-разгрузочные работы, повышение качества сельскохозяйственных товаров и иные расходы по их переработке, а также расходы, связанные с международными перевозками</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Установление внутренних тарифов для перевозки сельскохозяйственных товаров, предназначенных для вывоза на территорию другого государства-члена, </w:t>
            </w:r>
          </w:p>
          <w:p>
            <w:pPr>
              <w:spacing w:after="20"/>
              <w:ind w:left="20"/>
              <w:jc w:val="both"/>
            </w:pPr>
            <w:r>
              <w:rPr>
                <w:rFonts w:ascii="Times New Roman"/>
                <w:b w:val="false"/>
                <w:i w:val="false"/>
                <w:color w:val="000000"/>
                <w:sz w:val="20"/>
              </w:rPr>
              <w:t>
на условиях более благоприятных, чем при перевозке сельскохозяйственных товаров, предназначенных для внутреннего потребления</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Предоставление государственной поддержки в зависимости от включения сельскохозяйственных товаров в продукцию, предназначенную для вывоза на территорию другого государства-члена</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Оказание мер государственной поддержки, направленных на приобретение или использование исключительно отечественных сельскохозяйственных товаров для производства сельскохозяйственных товаров на территории государства-члена</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Оказание мер государственной поддержки, условием предоставления которых является ограничение приобретения или использования сельскохозяйственных товаров, ввозимых с территории любого государства-члена, в отношении объема или стоимости вывозимых на территорию любого государства-члена сельскохозяйственных товаров</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Оказание мер государственной поддержки, условием предоставления которых является соблюдение ценовых ограничений в отношении сельскохозяйственных товаров, ввозимых с территории любого государства-члена, для их использования при производстве сельскохозяйственных товаров</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Оказание мер государственной поддержки при использовании сельскохозяйственных товаров, ввозимых с территории любого государства-члена, размер которой устанавливается на уровне ниже, чем размер государственной поддержки при использовании аналогичных товаров отечественного производства</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разделу II</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Меры государственной поддержки, оказывающие искажающее воздействие на взаимную торговлю сельскохозяйственными товарами государств-членов</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Меры государственной поддержки, оказываемой без привязки к сельскохозяйственным товарам6</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финансирование затрат по обслуживанию кредитов, частичное или полное погашение обязательств по возврату заемных средств, </w:t>
            </w:r>
          </w:p>
          <w:p>
            <w:pPr>
              <w:spacing w:after="20"/>
              <w:ind w:left="20"/>
              <w:jc w:val="both"/>
            </w:pPr>
            <w:r>
              <w:rPr>
                <w:rFonts w:ascii="Times New Roman"/>
                <w:b w:val="false"/>
                <w:i w:val="false"/>
                <w:color w:val="000000"/>
                <w:sz w:val="20"/>
              </w:rPr>
              <w:t>
за исключением исполнения гарантий (компенсация потерь банков в связи с выдачей льготных кредитов организациям, осуществляющим производство сельскохозяйственных товаров, возмещение этим организациям части процентов за пользование кредитами и другие)</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частичная или полная компенсация за счет средств бюджетов затрат на энергоресурсы </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частичная или полная компенсация за счет средств бюджетов затрат по приобретению удобрений, семян, комбикормов, средств защиты растений</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частичная или полная компенсация за счет средств бюджетов затрат по приобретению </w:t>
            </w:r>
          </w:p>
          <w:p>
            <w:pPr>
              <w:spacing w:after="20"/>
              <w:ind w:left="20"/>
              <w:jc w:val="both"/>
            </w:pPr>
            <w:r>
              <w:rPr>
                <w:rFonts w:ascii="Times New Roman"/>
                <w:b w:val="false"/>
                <w:i w:val="false"/>
                <w:color w:val="000000"/>
                <w:sz w:val="20"/>
              </w:rPr>
              <w:t>
и ремонту сельскохозяйственной техники и оборудования</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финансирование расходов на лизинг сельскохозяйственной техники, оборудования и животных, в том числе погашение задолженности по кредитам, выданным организациям, уполномоченным на осуществление закупок сельскохозяйственной техники, оборудования и животных на условиях лизинга</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государственная поддержка племенного животноводства, птицеводства</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государственная поддержка семеноводства</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расходы, связанные с ремонтно-эксплуатационными работами </w:t>
            </w:r>
          </w:p>
          <w:p>
            <w:pPr>
              <w:spacing w:after="20"/>
              <w:ind w:left="20"/>
              <w:jc w:val="both"/>
            </w:pPr>
            <w:r>
              <w:rPr>
                <w:rFonts w:ascii="Times New Roman"/>
                <w:b w:val="false"/>
                <w:i w:val="false"/>
                <w:color w:val="000000"/>
                <w:sz w:val="20"/>
              </w:rPr>
              <w:t>
на внутрихозяйственных мелиорационных сетях</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возмещение затрат на уплату страховых взносов по страхованию урожая, скота, птицы</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предоставление гарантии исполнения обязательств7</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отсрочка исполнения обязательств по платежам в бюджеты различных уровней8</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приобретение товара, услуги, ценных бумаг, предприятия (имущественного комплекса) либо его части, доли в уставном фонде организации (включая приобретение акций), другого имущества, прав на объекты интеллектуальной собственности и иные приобретения по ценам, превышающим рыночные9</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полный или частичный отказ от взимания причитающихся доходов в бюджеты различных уровней (например, списание долга по платежам в бюджет и т. д.) </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льготное или безвозмездное предоставление товаров или услуг10</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иные меры государственной поддержки:</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Меры государственной поддержки, оказываемой с привязкой к сельскохозяйственным товарам</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государственная поддержка рыночных цен11</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государственная поддержка производства продукции растениеводства – всего </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и зернобобовые</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лен-долгунец</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картофель </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продукции</w:t>
            </w:r>
          </w:p>
          <w:p>
            <w:pPr>
              <w:spacing w:after="20"/>
              <w:ind w:left="20"/>
              <w:jc w:val="both"/>
            </w:pPr>
            <w:r>
              <w:rPr>
                <w:rFonts w:ascii="Times New Roman"/>
                <w:b w:val="false"/>
                <w:i w:val="false"/>
                <w:color w:val="000000"/>
                <w:sz w:val="20"/>
              </w:rPr>
              <w:t>
растениеводства:</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государственная поддержка производства продукции животноводства – всего </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мясного направления</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молочного направления</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олени</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пчелы</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продукции</w:t>
            </w:r>
          </w:p>
          <w:p>
            <w:pPr>
              <w:spacing w:after="20"/>
              <w:ind w:left="20"/>
              <w:jc w:val="both"/>
            </w:pPr>
            <w:r>
              <w:rPr>
                <w:rFonts w:ascii="Times New Roman"/>
                <w:b w:val="false"/>
                <w:i w:val="false"/>
                <w:color w:val="000000"/>
                <w:sz w:val="20"/>
              </w:rPr>
              <w:t>
животноводства:</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разделу III</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разделам I – III</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стоимость произведенных сельскохозяйственных товаров</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мер государственной поддержки сельского хозяйства, оказывающих искажающее воздействие на взаимную торговлю государств-членов сельскохозяйственными товарами (отношение итогового значения раздела III настоящей формы к валовой стоимости произведенных сельскохозяйственных товаров),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Государство-член, являющееся членом Всемирной торговой организации, может предоставлять уведомления по форме, принятой в рамках этой международной организации. </w:t>
      </w:r>
    </w:p>
    <w:p>
      <w:pPr>
        <w:spacing w:after="0"/>
        <w:ind w:left="0"/>
        <w:jc w:val="both"/>
      </w:pPr>
      <w:r>
        <w:rPr>
          <w:rFonts w:ascii="Times New Roman"/>
          <w:b w:val="false"/>
          <w:i w:val="false"/>
          <w:color w:val="000000"/>
          <w:sz w:val="28"/>
        </w:rPr>
        <w:t>
      В пояснительной записке, прилагаемой к настоящей форме, указывается описание мер государственной поддержки сельского хозяйства, финансируемых за счет средств федерального (республиканского) бюджета, региональных (областных) бюджетов. При описании мер государственной поддержки, не оказывающих искажающего воздействия на взаимную торговлю государств-членов сельскохозяйственными товарами, необходимо обосновать соответствие конкретной меры государственной поддержки критериям, изложенным в приложении 3 к Соглашению о единых правилах государственной поддержки сельского хозяйства от 9 декабря 2010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В случае если размер государственной поддержки сельского хозяйства, указанной в графе 5 таблицы настоящей формы, не превышает 0,5 % от валовой стоимости произведенных сельскохозяйственных товаров и отсутствует возможность учета соответствующих расходов по конкретным мерам поддержки, допускается указывать совокупный размер такой поддержки в пункте 1 раздела III настоящей формы.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Указываются прямые выплаты производителям сельскохозяйственных товаров, соответствующие требованиям, указанным в пунктах 4 – 11 приложения 3 к Соглашению о единых правилах государственной поддержки сельского хозяйства от 9 декабря 2010 года, а также выплаты, соответствующие требованиям, указанным в подпунктах 2 – 5 пункта 4 указанного приложения, с учетом основных критериев, предусмотренных абзацами вторым и третьим указанного приложения.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Указывается с привязкой к конкретному сельскохозяйственному товару.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Запасы сельскохозяйственных товаров, формируемые с целью использования для государственных нужд и (или) обеспечения продовольственной безопасности.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При наличии в пункте 1 раздела III настоящей формы мер государственной поддержки, оказываемой с привязкой к конкретному сельскохозяйственному товару (например, государственная поддержка племенного животноводства или семеноводства может оказываться с привязкой к конкретным сельскохозяйственным товарам), такие меры указываются в пункте 2 раздела III настоящей формы.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Определяется в соответствии с пунктом 2 приложения 2 к Соглашению о единых правилах государственной поддержки сельского хозяйства от 9 декабря 2010 года. Информация по предоставленным и исполненным в течение календарного года гарантиям (вне зависимости от даты их предоставления) приводится в таблице 1 приложения к настоящей форме. Размеры государственной поддержки по предоставлению государственных гарантий переносятся из графы 7 таблицы 1 приложения к настоящей форме в графы 3 – 5 таблицы настоящей формы.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Определяется в соответствии с пунктом 4 приложения 2 к Соглашению о единых правилах государственной поддержки сельского хозяйства от 9 декабря 2010 года и приводится в таблице 2 приложения к настоящей форме. Размеры государственной поддержки по предоставлению отсрочки исполнения обязательств переносятся из графы 6 таблицы 2 приложения к настоящей форме в графы 3 – 5 таблицы настоящей формы с учетом бюджетов различных уровней, за счет средств которых предоставлена отсрочка исполнения обязательств.</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Определяется в соответствии с пунктом 3 приложения 2 к Соглашению о единых правилах государственной поддержки сельского хозяйства от 9 декабря 2010 года и приводится в таблице 3 приложения к настоящей форме. Размеры государственной поддержки, оказываемой посредством приобретения конкретных объектов по ценам, превышающим рыночные, переносятся из графы 4 таблицы 3 приложения к настоящей форме в графы 3 – 5 таблицы настоящей формы с учетом расходов бюджетов различных уровней.</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Определяется в соответствии с пунктом 5 приложения 2 к Соглашению о единых правилах государственной поддержки сельского хозяйства от 9 декабря 2010 года и приводится в таблице 4 приложения к настоящей форме. Размеры государственной поддержки, оказываемой посредством льготного или безвозмездного предоставления товаров или услуг, переносятся из графы 4 таблицы 4 приложения к настоящей форме в графы 3 – 5 таблицы настоящей формы с учетом бюджетов различных уровней, за счет средств которых предоставлены соответствующие товары и услуги.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Определяется в соответствии с пунктом 6 приложения 2 к Соглашению о единых правилах государственной поддержки сельского хозяйства от 9 декабря 2010 года и приводится в таблице 5 приложения к настоящей форме. Размеры государственной поддержки рыночных цен переносятся из графы 6 таблицы 5 приложения к настоящей форме в графы 3 – 5 таблицы настоящей формы с учетом бюджетов различных уровней, за счет средств которых оказана поддержка рыночных цен.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уведомления об объемах</w:t>
            </w:r>
            <w:r>
              <w:br/>
            </w:r>
            <w:r>
              <w:rPr>
                <w:rFonts w:ascii="Times New Roman"/>
                <w:b w:val="false"/>
                <w:i w:val="false"/>
                <w:color w:val="000000"/>
                <w:sz w:val="20"/>
              </w:rPr>
              <w:t>государственной поддержки сельского</w:t>
            </w:r>
            <w:r>
              <w:br/>
            </w:r>
            <w:r>
              <w:rPr>
                <w:rFonts w:ascii="Times New Roman"/>
                <w:b w:val="false"/>
                <w:i w:val="false"/>
                <w:color w:val="000000"/>
                <w:sz w:val="20"/>
              </w:rPr>
              <w:t>хозяйства государства – члена</w:t>
            </w:r>
            <w:r>
              <w:br/>
            </w:r>
            <w:r>
              <w:rPr>
                <w:rFonts w:ascii="Times New Roman"/>
                <w:b w:val="false"/>
                <w:i w:val="false"/>
                <w:color w:val="000000"/>
                <w:sz w:val="20"/>
              </w:rPr>
              <w:t>Таможенного союза и Единого</w:t>
            </w:r>
            <w:r>
              <w:br/>
            </w:r>
            <w:r>
              <w:rPr>
                <w:rFonts w:ascii="Times New Roman"/>
                <w:b w:val="false"/>
                <w:i w:val="false"/>
                <w:color w:val="000000"/>
                <w:sz w:val="20"/>
              </w:rPr>
              <w:t>экономического пространства</w:t>
            </w:r>
          </w:p>
        </w:tc>
      </w:tr>
    </w:tbl>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1</w:t>
            </w:r>
          </w:p>
        </w:tc>
      </w:tr>
    </w:tbl>
    <w:p>
      <w:pPr>
        <w:spacing w:after="0"/>
        <w:ind w:left="0"/>
        <w:jc w:val="left"/>
      </w:pPr>
      <w:r>
        <w:br/>
      </w:r>
      <w:r>
        <w:rPr>
          <w:rFonts w:ascii="Times New Roman"/>
          <w:b w:val="false"/>
          <w:i w:val="false"/>
          <w:color w:val="000000"/>
          <w:sz w:val="28"/>
        </w:rPr>
        <w:t>
</w:t>
      </w:r>
    </w:p>
    <w:bookmarkStart w:name="z9" w:id="6"/>
    <w:p>
      <w:pPr>
        <w:spacing w:after="0"/>
        <w:ind w:left="0"/>
        <w:jc w:val="left"/>
      </w:pPr>
      <w:r>
        <w:rPr>
          <w:rFonts w:ascii="Times New Roman"/>
          <w:b/>
          <w:i w:val="false"/>
          <w:color w:val="000000"/>
        </w:rPr>
        <w:t xml:space="preserve"> Вспомогательный расчет государственной</w:t>
      </w:r>
      <w:r>
        <w:br/>
      </w:r>
      <w:r>
        <w:rPr>
          <w:rFonts w:ascii="Times New Roman"/>
          <w:b/>
          <w:i w:val="false"/>
          <w:color w:val="000000"/>
        </w:rPr>
        <w:t>поддержки сельского хозяйства по</w:t>
      </w:r>
      <w:r>
        <w:br/>
      </w:r>
      <w:r>
        <w:rPr>
          <w:rFonts w:ascii="Times New Roman"/>
          <w:b/>
          <w:i w:val="false"/>
          <w:color w:val="000000"/>
        </w:rPr>
        <w:t>государственным гарантиям исполнения</w:t>
      </w:r>
      <w:r>
        <w:br/>
      </w:r>
      <w:r>
        <w:rPr>
          <w:rFonts w:ascii="Times New Roman"/>
          <w:b/>
          <w:i w:val="false"/>
          <w:color w:val="000000"/>
        </w:rPr>
        <w:t>обязательств производителей</w:t>
      </w:r>
      <w:r>
        <w:br/>
      </w:r>
      <w:r>
        <w:rPr>
          <w:rFonts w:ascii="Times New Roman"/>
          <w:b/>
          <w:i w:val="false"/>
          <w:color w:val="000000"/>
        </w:rPr>
        <w:t>сельскохозяйственных товаров</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государственной гарантии исполнения обязательств производителей сельскохозяйственных товаров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по которым предоставлена государственная гарантия  (в национальной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оплаты за государственную гарантию, % от объема обязательств, по которым предоставлена государственная гарантия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Коммерческая ставка оплаты за гарантии, % от объема обязательств, по которым предоставлена государственная гарантия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государственной поддержки по предоставленным государственным гарантиям</w:t>
            </w:r>
          </w:p>
          <w:p>
            <w:pPr>
              <w:spacing w:after="20"/>
              <w:ind w:left="20"/>
              <w:jc w:val="both"/>
            </w:pPr>
          </w:p>
          <w:p>
            <w:pPr>
              <w:spacing w:after="20"/>
              <w:ind w:left="20"/>
              <w:jc w:val="both"/>
            </w:pPr>
          </w:p>
          <w:p>
            <w:pPr>
              <w:spacing w:after="20"/>
              <w:ind w:left="20"/>
              <w:jc w:val="both"/>
            </w:pPr>
            <w:r>
              <w:drawing>
                <wp:inline distT="0" distB="0" distL="0" distR="0">
                  <wp:extent cx="19431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43100" cy="7493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расходы по исполнению государственных гарантий</w:t>
            </w:r>
          </w:p>
          <w:p>
            <w:pPr>
              <w:spacing w:after="20"/>
              <w:ind w:left="20"/>
              <w:jc w:val="both"/>
            </w:pPr>
            <w:r>
              <w:rPr>
                <w:rFonts w:ascii="Times New Roman"/>
                <w:b w:val="false"/>
                <w:i w:val="false"/>
                <w:color w:val="000000"/>
                <w:sz w:val="20"/>
              </w:rPr>
              <w:t>
(в национальной валюте)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государственной поддержки по предоставлению государственных гарантий</w:t>
            </w:r>
          </w:p>
          <w:p>
            <w:pPr>
              <w:spacing w:after="20"/>
              <w:ind w:left="20"/>
              <w:jc w:val="both"/>
            </w:pPr>
            <w:r>
              <w:rPr>
                <w:rFonts w:ascii="Times New Roman"/>
                <w:b w:val="false"/>
                <w:i w:val="false"/>
                <w:color w:val="000000"/>
                <w:sz w:val="20"/>
              </w:rPr>
              <w:t xml:space="preserve">
(в национальной валюте) (если </w:t>
            </w:r>
          </w:p>
          <w:p>
            <w:pPr>
              <w:spacing w:after="20"/>
              <w:ind w:left="20"/>
              <w:jc w:val="both"/>
            </w:pPr>
            <w:r>
              <w:rPr>
                <w:rFonts w:ascii="Times New Roman"/>
                <w:b w:val="false"/>
                <w:i w:val="false"/>
                <w:color w:val="000000"/>
                <w:sz w:val="20"/>
              </w:rPr>
              <w:t xml:space="preserve">
гр. 5 &gt; гр. 6, </w:t>
            </w:r>
          </w:p>
          <w:p>
            <w:pPr>
              <w:spacing w:after="20"/>
              <w:ind w:left="20"/>
              <w:jc w:val="both"/>
            </w:pPr>
            <w:r>
              <w:rPr>
                <w:rFonts w:ascii="Times New Roman"/>
                <w:b w:val="false"/>
                <w:i w:val="false"/>
                <w:color w:val="000000"/>
                <w:sz w:val="20"/>
              </w:rPr>
              <w:t xml:space="preserve">
то = гр. 5, если </w:t>
            </w:r>
          </w:p>
          <w:p>
            <w:pPr>
              <w:spacing w:after="20"/>
              <w:ind w:left="20"/>
              <w:jc w:val="both"/>
            </w:pPr>
            <w:r>
              <w:rPr>
                <w:rFonts w:ascii="Times New Roman"/>
                <w:b w:val="false"/>
                <w:i w:val="false"/>
                <w:color w:val="000000"/>
                <w:sz w:val="20"/>
              </w:rPr>
              <w:t xml:space="preserve">
гр. 5 &lt; гр. 6, </w:t>
            </w:r>
          </w:p>
          <w:p>
            <w:pPr>
              <w:spacing w:after="20"/>
              <w:ind w:left="20"/>
              <w:jc w:val="both"/>
            </w:pPr>
            <w:r>
              <w:rPr>
                <w:rFonts w:ascii="Times New Roman"/>
                <w:b w:val="false"/>
                <w:i w:val="false"/>
                <w:color w:val="000000"/>
                <w:sz w:val="20"/>
              </w:rPr>
              <w:t>
то = гр.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бюджет Российской Федерации, республиканские бюджеты Республики Беларусь и Республики Казахстан</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Бюджеты субъектов Российской Федерации, местные бюджеты областного уровня Республики Беларусь, областные бюджеты, бюджеты города республиканского значения, столицы Республики Казахстан</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бюджеты Российской Федерации, местные бюджеты базового и первичного уровней Республики Беларусь, бюджеты районов (городов областного значения) Республики Казахстан</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Примечание. В случае если ставки оплаты гарантий различны, расчет приводится по каждой конкретной ставке.</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2</w:t>
            </w:r>
          </w:p>
        </w:tc>
      </w:tr>
    </w:tbl>
    <w:p>
      <w:pPr>
        <w:spacing w:after="0"/>
        <w:ind w:left="0"/>
        <w:jc w:val="left"/>
      </w:pPr>
      <w:r>
        <w:br/>
      </w:r>
      <w:r>
        <w:rPr>
          <w:rFonts w:ascii="Times New Roman"/>
          <w:b w:val="false"/>
          <w:i w:val="false"/>
          <w:color w:val="000000"/>
          <w:sz w:val="28"/>
        </w:rPr>
        <w:t>
</w:t>
      </w:r>
    </w:p>
    <w:bookmarkStart w:name="z10" w:id="7"/>
    <w:p>
      <w:pPr>
        <w:spacing w:after="0"/>
        <w:ind w:left="0"/>
        <w:jc w:val="left"/>
      </w:pPr>
      <w:r>
        <w:rPr>
          <w:rFonts w:ascii="Times New Roman"/>
          <w:b/>
          <w:i w:val="false"/>
          <w:color w:val="000000"/>
        </w:rPr>
        <w:t xml:space="preserve"> Вспомогательный расчет государственной</w:t>
      </w:r>
      <w:r>
        <w:br/>
      </w:r>
      <w:r>
        <w:rPr>
          <w:rFonts w:ascii="Times New Roman"/>
          <w:b/>
          <w:i w:val="false"/>
          <w:color w:val="000000"/>
        </w:rPr>
        <w:t>поддержки по отсрочке (рассрочке)</w:t>
      </w:r>
      <w:r>
        <w:br/>
      </w:r>
      <w:r>
        <w:rPr>
          <w:rFonts w:ascii="Times New Roman"/>
          <w:b/>
          <w:i w:val="false"/>
          <w:color w:val="000000"/>
        </w:rPr>
        <w:t>исполнения обязательств производителей</w:t>
      </w:r>
      <w:r>
        <w:br/>
      </w:r>
      <w:r>
        <w:rPr>
          <w:rFonts w:ascii="Times New Roman"/>
          <w:b/>
          <w:i w:val="false"/>
          <w:color w:val="000000"/>
        </w:rPr>
        <w:t>сельскохозяйственных товаров перед</w:t>
      </w:r>
      <w:r>
        <w:br/>
      </w:r>
      <w:r>
        <w:rPr>
          <w:rFonts w:ascii="Times New Roman"/>
          <w:b/>
          <w:i w:val="false"/>
          <w:color w:val="000000"/>
        </w:rPr>
        <w:t>бюджетами различных уровней</w:t>
      </w:r>
      <w:r>
        <w:br/>
      </w:r>
      <w:r>
        <w:rPr>
          <w:rFonts w:ascii="Times New Roman"/>
          <w:b/>
          <w:i w:val="false"/>
          <w:color w:val="000000"/>
        </w:rPr>
        <w:t>государства – члена Таможенного союза</w:t>
      </w:r>
      <w:r>
        <w:br/>
      </w:r>
      <w:r>
        <w:rPr>
          <w:rFonts w:ascii="Times New Roman"/>
          <w:b/>
          <w:i w:val="false"/>
          <w:color w:val="000000"/>
        </w:rPr>
        <w:t>и Единого экономического пространства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отсрочки</w:t>
            </w:r>
          </w:p>
          <w:p>
            <w:pPr>
              <w:spacing w:after="20"/>
              <w:ind w:left="20"/>
              <w:jc w:val="both"/>
            </w:pPr>
            <w:r>
              <w:rPr>
                <w:rFonts w:ascii="Times New Roman"/>
                <w:b w:val="false"/>
                <w:i w:val="false"/>
                <w:color w:val="000000"/>
                <w:sz w:val="20"/>
              </w:rPr>
              <w:t>
(рассрочки)</w:t>
            </w:r>
          </w:p>
          <w:p>
            <w:pPr>
              <w:spacing w:after="20"/>
              <w:ind w:left="20"/>
              <w:jc w:val="both"/>
            </w:pPr>
            <w:r>
              <w:rPr>
                <w:rFonts w:ascii="Times New Roman"/>
                <w:b w:val="false"/>
                <w:i w:val="false"/>
                <w:color w:val="000000"/>
                <w:sz w:val="20"/>
              </w:rPr>
              <w:t>
исполнения</w:t>
            </w:r>
          </w:p>
          <w:p>
            <w:pPr>
              <w:spacing w:after="20"/>
              <w:ind w:left="20"/>
              <w:jc w:val="both"/>
            </w:pPr>
            <w:r>
              <w:rPr>
                <w:rFonts w:ascii="Times New Roman"/>
                <w:b w:val="false"/>
                <w:i w:val="false"/>
                <w:color w:val="000000"/>
                <w:sz w:val="20"/>
              </w:rPr>
              <w:t>
обязательств</w:t>
            </w:r>
          </w:p>
          <w:p>
            <w:pPr>
              <w:spacing w:after="20"/>
              <w:ind w:left="20"/>
              <w:jc w:val="both"/>
            </w:pPr>
            <w:r>
              <w:rPr>
                <w:rFonts w:ascii="Times New Roman"/>
                <w:b w:val="false"/>
                <w:i w:val="false"/>
                <w:color w:val="000000"/>
                <w:sz w:val="20"/>
              </w:rPr>
              <w:t>
и решение органа</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управления по</w:t>
            </w:r>
          </w:p>
          <w:p>
            <w:pPr>
              <w:spacing w:after="20"/>
              <w:ind w:left="20"/>
              <w:jc w:val="both"/>
            </w:pPr>
            <w:r>
              <w:rPr>
                <w:rFonts w:ascii="Times New Roman"/>
                <w:b w:val="false"/>
                <w:i w:val="false"/>
                <w:color w:val="000000"/>
                <w:sz w:val="20"/>
              </w:rPr>
              <w:t>
ее предоставлению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w:t>
            </w:r>
          </w:p>
          <w:p>
            <w:pPr>
              <w:spacing w:after="20"/>
              <w:ind w:left="20"/>
              <w:jc w:val="both"/>
            </w:pPr>
            <w:r>
              <w:rPr>
                <w:rFonts w:ascii="Times New Roman"/>
                <w:b w:val="false"/>
                <w:i w:val="false"/>
                <w:color w:val="000000"/>
                <w:sz w:val="20"/>
              </w:rPr>
              <w:t>
периода</w:t>
            </w:r>
          </w:p>
          <w:p>
            <w:pPr>
              <w:spacing w:after="20"/>
              <w:ind w:left="20"/>
              <w:jc w:val="both"/>
            </w:pPr>
            <w:r>
              <w:rPr>
                <w:rFonts w:ascii="Times New Roman"/>
                <w:b w:val="false"/>
                <w:i w:val="false"/>
                <w:color w:val="000000"/>
                <w:sz w:val="20"/>
              </w:rPr>
              <w:t>
отсрочки</w:t>
            </w:r>
          </w:p>
          <w:p>
            <w:pPr>
              <w:spacing w:after="20"/>
              <w:ind w:left="20"/>
              <w:jc w:val="both"/>
            </w:pPr>
            <w:r>
              <w:rPr>
                <w:rFonts w:ascii="Times New Roman"/>
                <w:b w:val="false"/>
                <w:i w:val="false"/>
                <w:color w:val="000000"/>
                <w:sz w:val="20"/>
              </w:rPr>
              <w:t>
(рассрочки)</w:t>
            </w:r>
          </w:p>
          <w:p>
            <w:pPr>
              <w:spacing w:after="20"/>
              <w:ind w:left="20"/>
              <w:jc w:val="both"/>
            </w:pPr>
            <w:r>
              <w:rPr>
                <w:rFonts w:ascii="Times New Roman"/>
                <w:b w:val="false"/>
                <w:i w:val="false"/>
                <w:color w:val="000000"/>
                <w:sz w:val="20"/>
              </w:rPr>
              <w:t>
исполнения</w:t>
            </w:r>
          </w:p>
          <w:p>
            <w:pPr>
              <w:spacing w:after="20"/>
              <w:ind w:left="20"/>
              <w:jc w:val="both"/>
            </w:pPr>
            <w:r>
              <w:rPr>
                <w:rFonts w:ascii="Times New Roman"/>
                <w:b w:val="false"/>
                <w:i w:val="false"/>
                <w:color w:val="000000"/>
                <w:sz w:val="20"/>
              </w:rPr>
              <w:t>
обязательств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окончания</w:t>
            </w:r>
          </w:p>
          <w:p>
            <w:pPr>
              <w:spacing w:after="20"/>
              <w:ind w:left="20"/>
              <w:jc w:val="both"/>
            </w:pPr>
            <w:r>
              <w:rPr>
                <w:rFonts w:ascii="Times New Roman"/>
                <w:b w:val="false"/>
                <w:i w:val="false"/>
                <w:color w:val="000000"/>
                <w:sz w:val="20"/>
              </w:rPr>
              <w:t>
периода</w:t>
            </w:r>
          </w:p>
          <w:p>
            <w:pPr>
              <w:spacing w:after="20"/>
              <w:ind w:left="20"/>
              <w:jc w:val="both"/>
            </w:pPr>
            <w:r>
              <w:rPr>
                <w:rFonts w:ascii="Times New Roman"/>
                <w:b w:val="false"/>
                <w:i w:val="false"/>
                <w:color w:val="000000"/>
                <w:sz w:val="20"/>
              </w:rPr>
              <w:t>
отсрочки</w:t>
            </w:r>
          </w:p>
          <w:p>
            <w:pPr>
              <w:spacing w:after="20"/>
              <w:ind w:left="20"/>
              <w:jc w:val="both"/>
            </w:pPr>
            <w:r>
              <w:rPr>
                <w:rFonts w:ascii="Times New Roman"/>
                <w:b w:val="false"/>
                <w:i w:val="false"/>
                <w:color w:val="000000"/>
                <w:sz w:val="20"/>
              </w:rPr>
              <w:t>
(рассрочки)</w:t>
            </w:r>
          </w:p>
          <w:p>
            <w:pPr>
              <w:spacing w:after="20"/>
              <w:ind w:left="20"/>
              <w:jc w:val="both"/>
            </w:pPr>
            <w:r>
              <w:rPr>
                <w:rFonts w:ascii="Times New Roman"/>
                <w:b w:val="false"/>
                <w:i w:val="false"/>
                <w:color w:val="000000"/>
                <w:sz w:val="20"/>
              </w:rPr>
              <w:t>
исполнения</w:t>
            </w:r>
          </w:p>
          <w:p>
            <w:pPr>
              <w:spacing w:after="20"/>
              <w:ind w:left="20"/>
              <w:jc w:val="both"/>
            </w:pPr>
            <w:r>
              <w:rPr>
                <w:rFonts w:ascii="Times New Roman"/>
                <w:b w:val="false"/>
                <w:i w:val="false"/>
                <w:color w:val="000000"/>
                <w:sz w:val="20"/>
              </w:rPr>
              <w:t>
обязательств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w:t>
            </w:r>
          </w:p>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обязательств,</w:t>
            </w:r>
          </w:p>
          <w:p>
            <w:pPr>
              <w:spacing w:after="20"/>
              <w:ind w:left="20"/>
              <w:jc w:val="both"/>
            </w:pPr>
            <w:r>
              <w:rPr>
                <w:rFonts w:ascii="Times New Roman"/>
                <w:b w:val="false"/>
                <w:i w:val="false"/>
                <w:color w:val="000000"/>
                <w:sz w:val="20"/>
              </w:rPr>
              <w:t>
по которым</w:t>
            </w:r>
          </w:p>
          <w:p>
            <w:pPr>
              <w:spacing w:after="20"/>
              <w:ind w:left="20"/>
              <w:jc w:val="both"/>
            </w:pPr>
            <w:r>
              <w:rPr>
                <w:rFonts w:ascii="Times New Roman"/>
                <w:b w:val="false"/>
                <w:i w:val="false"/>
                <w:color w:val="000000"/>
                <w:sz w:val="20"/>
              </w:rPr>
              <w:t>
предоставлена</w:t>
            </w:r>
          </w:p>
          <w:p>
            <w:pPr>
              <w:spacing w:after="20"/>
              <w:ind w:left="20"/>
              <w:jc w:val="both"/>
            </w:pPr>
            <w:r>
              <w:rPr>
                <w:rFonts w:ascii="Times New Roman"/>
                <w:b w:val="false"/>
                <w:i w:val="false"/>
                <w:color w:val="000000"/>
                <w:sz w:val="20"/>
              </w:rPr>
              <w:t>
отсрочка</w:t>
            </w:r>
          </w:p>
          <w:p>
            <w:pPr>
              <w:spacing w:after="20"/>
              <w:ind w:left="20"/>
              <w:jc w:val="both"/>
            </w:pPr>
            <w:r>
              <w:rPr>
                <w:rFonts w:ascii="Times New Roman"/>
                <w:b w:val="false"/>
                <w:i w:val="false"/>
                <w:color w:val="000000"/>
                <w:sz w:val="20"/>
              </w:rPr>
              <w:t>
(рассрочка)</w:t>
            </w:r>
          </w:p>
          <w:p>
            <w:pPr>
              <w:spacing w:after="20"/>
              <w:ind w:left="20"/>
              <w:jc w:val="both"/>
            </w:pPr>
            <w:r>
              <w:rPr>
                <w:rFonts w:ascii="Times New Roman"/>
                <w:b w:val="false"/>
                <w:i w:val="false"/>
                <w:color w:val="000000"/>
                <w:sz w:val="20"/>
              </w:rPr>
              <w:t>
исполнения</w:t>
            </w:r>
          </w:p>
          <w:p>
            <w:pPr>
              <w:spacing w:after="20"/>
              <w:ind w:left="20"/>
              <w:jc w:val="both"/>
            </w:pPr>
            <w:r>
              <w:rPr>
                <w:rFonts w:ascii="Times New Roman"/>
                <w:b w:val="false"/>
                <w:i w:val="false"/>
                <w:color w:val="000000"/>
                <w:sz w:val="20"/>
              </w:rPr>
              <w:t>
обязательств</w:t>
            </w:r>
          </w:p>
          <w:p>
            <w:pPr>
              <w:spacing w:after="20"/>
              <w:ind w:left="20"/>
              <w:jc w:val="both"/>
            </w:pPr>
            <w:r>
              <w:rPr>
                <w:rFonts w:ascii="Times New Roman"/>
                <w:b w:val="false"/>
                <w:i w:val="false"/>
                <w:color w:val="000000"/>
                <w:sz w:val="20"/>
              </w:rPr>
              <w:t>
(в национальной</w:t>
            </w:r>
          </w:p>
          <w:p>
            <w:pPr>
              <w:spacing w:after="20"/>
              <w:ind w:left="20"/>
              <w:jc w:val="both"/>
            </w:pPr>
            <w:r>
              <w:rPr>
                <w:rFonts w:ascii="Times New Roman"/>
                <w:b w:val="false"/>
                <w:i w:val="false"/>
                <w:color w:val="000000"/>
                <w:sz w:val="20"/>
              </w:rPr>
              <w:t>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на</w:t>
            </w:r>
          </w:p>
          <w:p>
            <w:pPr>
              <w:spacing w:after="20"/>
              <w:ind w:left="20"/>
              <w:jc w:val="both"/>
            </w:pPr>
            <w:r>
              <w:rPr>
                <w:rFonts w:ascii="Times New Roman"/>
                <w:b w:val="false"/>
                <w:i w:val="false"/>
                <w:color w:val="000000"/>
                <w:sz w:val="20"/>
              </w:rPr>
              <w:t>
доступном</w:t>
            </w:r>
          </w:p>
          <w:p>
            <w:pPr>
              <w:spacing w:after="20"/>
              <w:ind w:left="20"/>
              <w:jc w:val="both"/>
            </w:pPr>
            <w:r>
              <w:rPr>
                <w:rFonts w:ascii="Times New Roman"/>
                <w:b w:val="false"/>
                <w:i w:val="false"/>
                <w:color w:val="000000"/>
                <w:sz w:val="20"/>
              </w:rPr>
              <w:t>
кредитном</w:t>
            </w:r>
          </w:p>
          <w:p>
            <w:pPr>
              <w:spacing w:after="20"/>
              <w:ind w:left="20"/>
              <w:jc w:val="both"/>
            </w:pPr>
            <w:r>
              <w:rPr>
                <w:rFonts w:ascii="Times New Roman"/>
                <w:b w:val="false"/>
                <w:i w:val="false"/>
                <w:color w:val="000000"/>
                <w:sz w:val="20"/>
              </w:rPr>
              <w:t>
рынке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государственной</w:t>
            </w:r>
          </w:p>
          <w:p>
            <w:pPr>
              <w:spacing w:after="20"/>
              <w:ind w:left="20"/>
              <w:jc w:val="both"/>
            </w:pPr>
            <w:r>
              <w:rPr>
                <w:rFonts w:ascii="Times New Roman"/>
                <w:b w:val="false"/>
                <w:i w:val="false"/>
                <w:color w:val="000000"/>
                <w:sz w:val="20"/>
              </w:rPr>
              <w:t>
поддержки по</w:t>
            </w:r>
          </w:p>
          <w:p>
            <w:pPr>
              <w:spacing w:after="20"/>
              <w:ind w:left="20"/>
              <w:jc w:val="both"/>
            </w:pPr>
            <w:r>
              <w:rPr>
                <w:rFonts w:ascii="Times New Roman"/>
                <w:b w:val="false"/>
                <w:i w:val="false"/>
                <w:color w:val="000000"/>
                <w:sz w:val="20"/>
              </w:rPr>
              <w:t>
предоставленной</w:t>
            </w:r>
          </w:p>
          <w:p>
            <w:pPr>
              <w:spacing w:after="20"/>
              <w:ind w:left="20"/>
              <w:jc w:val="both"/>
            </w:pPr>
            <w:r>
              <w:rPr>
                <w:rFonts w:ascii="Times New Roman"/>
                <w:b w:val="false"/>
                <w:i w:val="false"/>
                <w:color w:val="000000"/>
                <w:sz w:val="20"/>
              </w:rPr>
              <w:t>
отсрочке</w:t>
            </w:r>
          </w:p>
          <w:p>
            <w:pPr>
              <w:spacing w:after="20"/>
              <w:ind w:left="20"/>
              <w:jc w:val="both"/>
            </w:pPr>
            <w:r>
              <w:rPr>
                <w:rFonts w:ascii="Times New Roman"/>
                <w:b w:val="false"/>
                <w:i w:val="false"/>
                <w:color w:val="000000"/>
                <w:sz w:val="20"/>
              </w:rPr>
              <w:t>
(рассрочке)</w:t>
            </w:r>
          </w:p>
          <w:p>
            <w:pPr>
              <w:spacing w:after="20"/>
              <w:ind w:left="20"/>
              <w:jc w:val="both"/>
            </w:pPr>
            <w:r>
              <w:rPr>
                <w:rFonts w:ascii="Times New Roman"/>
                <w:b w:val="false"/>
                <w:i w:val="false"/>
                <w:color w:val="000000"/>
                <w:sz w:val="20"/>
              </w:rPr>
              <w:t>
исполнения</w:t>
            </w:r>
          </w:p>
          <w:p>
            <w:pPr>
              <w:spacing w:after="20"/>
              <w:ind w:left="20"/>
              <w:jc w:val="both"/>
            </w:pPr>
            <w:r>
              <w:rPr>
                <w:rFonts w:ascii="Times New Roman"/>
                <w:b w:val="false"/>
                <w:i w:val="false"/>
                <w:color w:val="000000"/>
                <w:sz w:val="20"/>
              </w:rPr>
              <w:t>
обязательств</w:t>
            </w:r>
          </w:p>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календарный</w:t>
            </w:r>
          </w:p>
          <w:p>
            <w:pPr>
              <w:spacing w:after="20"/>
              <w:ind w:left="20"/>
              <w:jc w:val="both"/>
            </w:pPr>
            <w:r>
              <w:rPr>
                <w:rFonts w:ascii="Times New Roman"/>
                <w:b w:val="false"/>
                <w:i w:val="false"/>
                <w:color w:val="000000"/>
                <w:sz w:val="20"/>
              </w:rPr>
              <w:t>
год</w:t>
            </w:r>
          </w:p>
          <w:p>
            <w:pPr>
              <w:spacing w:after="20"/>
              <w:ind w:left="20"/>
              <w:jc w:val="both"/>
            </w:pPr>
          </w:p>
          <w:p>
            <w:pPr>
              <w:spacing w:after="20"/>
              <w:ind w:left="20"/>
              <w:jc w:val="both"/>
            </w:pPr>
          </w:p>
          <w:p>
            <w:pPr>
              <w:spacing w:after="20"/>
              <w:ind w:left="20"/>
              <w:jc w:val="both"/>
            </w:pPr>
            <w:r>
              <w:drawing>
                <wp:inline distT="0" distB="0" distL="0" distR="0">
                  <wp:extent cx="1295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954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w:t>
            </w:r>
          </w:p>
        </w:tc>
      </w:tr>
    </w:tbl>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3</w:t>
            </w:r>
          </w:p>
        </w:tc>
      </w:tr>
    </w:tbl>
    <w:p>
      <w:pPr>
        <w:spacing w:after="0"/>
        <w:ind w:left="0"/>
        <w:jc w:val="left"/>
      </w:pPr>
    </w:p>
    <w:bookmarkStart w:name="z11" w:id="8"/>
    <w:p>
      <w:pPr>
        <w:spacing w:after="0"/>
        <w:ind w:left="0"/>
        <w:jc w:val="left"/>
      </w:pPr>
      <w:r>
        <w:rPr>
          <w:rFonts w:ascii="Times New Roman"/>
          <w:b/>
          <w:i w:val="false"/>
          <w:color w:val="000000"/>
        </w:rPr>
        <w:t xml:space="preserve"> Вспомогательный расчет государственной</w:t>
      </w:r>
      <w:r>
        <w:br/>
      </w:r>
      <w:r>
        <w:rPr>
          <w:rFonts w:ascii="Times New Roman"/>
          <w:b/>
          <w:i w:val="false"/>
          <w:color w:val="000000"/>
        </w:rPr>
        <w:t>поддержки, оказываемой посредством</w:t>
      </w:r>
      <w:r>
        <w:br/>
      </w:r>
      <w:r>
        <w:rPr>
          <w:rFonts w:ascii="Times New Roman"/>
          <w:b/>
          <w:i w:val="false"/>
          <w:color w:val="000000"/>
        </w:rPr>
        <w:t>приобретения государством – членом Таможенного</w:t>
      </w:r>
      <w:r>
        <w:br/>
      </w:r>
      <w:r>
        <w:rPr>
          <w:rFonts w:ascii="Times New Roman"/>
          <w:b/>
          <w:i w:val="false"/>
          <w:color w:val="000000"/>
        </w:rPr>
        <w:t>союза и Единого экономического пространства</w:t>
      </w:r>
      <w:r>
        <w:br/>
      </w:r>
      <w:r>
        <w:rPr>
          <w:rFonts w:ascii="Times New Roman"/>
          <w:b/>
          <w:i w:val="false"/>
          <w:color w:val="000000"/>
        </w:rPr>
        <w:t>отдельных объектов по ценам, превышающим рыночные</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приобретенного объекта (товара, услуги, ценных бумаг, предприятия (имущественного комплекса) либо его части, доли в уставном фонде организации (включая приобретение акций), другого имущества, прав на объекты интеллектуальной собственности и т.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уплаченная за приобретенный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цена приобретенного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государственной поддержки</w:t>
            </w:r>
          </w:p>
          <w:p>
            <w:pPr>
              <w:spacing w:after="20"/>
              <w:ind w:left="20"/>
              <w:jc w:val="both"/>
            </w:pPr>
          </w:p>
          <w:p>
            <w:pPr>
              <w:spacing w:after="20"/>
              <w:ind w:left="20"/>
              <w:jc w:val="both"/>
            </w:pPr>
          </w:p>
          <w:p>
            <w:pPr>
              <w:spacing w:after="20"/>
              <w:ind w:left="20"/>
              <w:jc w:val="both"/>
            </w:pPr>
            <w:r>
              <w:drawing>
                <wp:inline distT="0" distB="0" distL="0" distR="0">
                  <wp:extent cx="1041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414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w:t>
            </w:r>
          </w:p>
        </w:tc>
      </w:tr>
    </w:tbl>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4</w:t>
            </w:r>
          </w:p>
        </w:tc>
      </w:tr>
    </w:tbl>
    <w:p>
      <w:pPr>
        <w:spacing w:after="0"/>
        <w:ind w:left="0"/>
        <w:jc w:val="left"/>
      </w:pPr>
    </w:p>
    <w:bookmarkStart w:name="z12" w:id="9"/>
    <w:p>
      <w:pPr>
        <w:spacing w:after="0"/>
        <w:ind w:left="0"/>
        <w:jc w:val="left"/>
      </w:pPr>
      <w:r>
        <w:rPr>
          <w:rFonts w:ascii="Times New Roman"/>
          <w:b/>
          <w:i w:val="false"/>
          <w:color w:val="000000"/>
        </w:rPr>
        <w:t xml:space="preserve"> Вспомогательный расчет государственной</w:t>
      </w:r>
      <w:r>
        <w:br/>
      </w:r>
      <w:r>
        <w:rPr>
          <w:rFonts w:ascii="Times New Roman"/>
          <w:b/>
          <w:i w:val="false"/>
          <w:color w:val="000000"/>
        </w:rPr>
        <w:t>поддержки, оказываемой посредством льготного или</w:t>
      </w:r>
      <w:r>
        <w:br/>
      </w:r>
      <w:r>
        <w:rPr>
          <w:rFonts w:ascii="Times New Roman"/>
          <w:b/>
          <w:i w:val="false"/>
          <w:color w:val="000000"/>
        </w:rPr>
        <w:t>безвозмездного предоставления государством –</w:t>
      </w:r>
      <w:r>
        <w:br/>
      </w:r>
      <w:r>
        <w:rPr>
          <w:rFonts w:ascii="Times New Roman"/>
          <w:b/>
          <w:i w:val="false"/>
          <w:color w:val="000000"/>
        </w:rPr>
        <w:t>членом Таможенного союза и Единого</w:t>
      </w:r>
      <w:r>
        <w:br/>
      </w:r>
      <w:r>
        <w:rPr>
          <w:rFonts w:ascii="Times New Roman"/>
          <w:b/>
          <w:i w:val="false"/>
          <w:color w:val="000000"/>
        </w:rPr>
        <w:t>экономического пространства товаров и услуг</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w:t>
            </w:r>
          </w:p>
          <w:p>
            <w:pPr>
              <w:spacing w:after="20"/>
              <w:ind w:left="20"/>
              <w:jc w:val="both"/>
            </w:pPr>
            <w:r>
              <w:rPr>
                <w:rFonts w:ascii="Times New Roman"/>
                <w:b w:val="false"/>
                <w:i w:val="false"/>
                <w:color w:val="000000"/>
                <w:sz w:val="20"/>
              </w:rPr>
              <w:t xml:space="preserve">
(предоставленные) </w:t>
            </w:r>
          </w:p>
          <w:p>
            <w:pPr>
              <w:spacing w:after="20"/>
              <w:ind w:left="20"/>
              <w:jc w:val="both"/>
            </w:pPr>
            <w:r>
              <w:rPr>
                <w:rFonts w:ascii="Times New Roman"/>
                <w:b w:val="false"/>
                <w:i w:val="false"/>
                <w:color w:val="000000"/>
                <w:sz w:val="20"/>
              </w:rPr>
              <w:t>
товары и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уплаченная за</w:t>
            </w:r>
          </w:p>
          <w:p>
            <w:pPr>
              <w:spacing w:after="20"/>
              <w:ind w:left="20"/>
              <w:jc w:val="both"/>
            </w:pPr>
            <w:r>
              <w:rPr>
                <w:rFonts w:ascii="Times New Roman"/>
                <w:b w:val="false"/>
                <w:i w:val="false"/>
                <w:color w:val="000000"/>
                <w:sz w:val="20"/>
              </w:rPr>
              <w:t>
приобретенный</w:t>
            </w:r>
          </w:p>
          <w:p>
            <w:pPr>
              <w:spacing w:after="20"/>
              <w:ind w:left="20"/>
              <w:jc w:val="both"/>
            </w:pPr>
            <w:r>
              <w:rPr>
                <w:rFonts w:ascii="Times New Roman"/>
                <w:b w:val="false"/>
                <w:i w:val="false"/>
                <w:color w:val="000000"/>
                <w:sz w:val="20"/>
              </w:rPr>
              <w:t>
(предоставленный)</w:t>
            </w:r>
          </w:p>
          <w:p>
            <w:pPr>
              <w:spacing w:after="20"/>
              <w:ind w:left="20"/>
              <w:jc w:val="both"/>
            </w:pPr>
            <w:r>
              <w:rPr>
                <w:rFonts w:ascii="Times New Roman"/>
                <w:b w:val="false"/>
                <w:i w:val="false"/>
                <w:color w:val="000000"/>
                <w:sz w:val="20"/>
              </w:rPr>
              <w:t>
товар или услугу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цена</w:t>
            </w:r>
          </w:p>
          <w:p>
            <w:pPr>
              <w:spacing w:after="20"/>
              <w:ind w:left="20"/>
              <w:jc w:val="both"/>
            </w:pPr>
            <w:r>
              <w:rPr>
                <w:rFonts w:ascii="Times New Roman"/>
                <w:b w:val="false"/>
                <w:i w:val="false"/>
                <w:color w:val="000000"/>
                <w:sz w:val="20"/>
              </w:rPr>
              <w:t>
приобретенного</w:t>
            </w:r>
          </w:p>
          <w:p>
            <w:pPr>
              <w:spacing w:after="20"/>
              <w:ind w:left="20"/>
              <w:jc w:val="both"/>
            </w:pPr>
            <w:r>
              <w:rPr>
                <w:rFonts w:ascii="Times New Roman"/>
                <w:b w:val="false"/>
                <w:i w:val="false"/>
                <w:color w:val="000000"/>
                <w:sz w:val="20"/>
              </w:rPr>
              <w:t>
(предоставленного)</w:t>
            </w:r>
          </w:p>
          <w:p>
            <w:pPr>
              <w:spacing w:after="20"/>
              <w:ind w:left="20"/>
              <w:jc w:val="both"/>
            </w:pPr>
            <w:r>
              <w:rPr>
                <w:rFonts w:ascii="Times New Roman"/>
                <w:b w:val="false"/>
                <w:i w:val="false"/>
                <w:color w:val="000000"/>
                <w:sz w:val="20"/>
              </w:rPr>
              <w:t>
товара или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государственной</w:t>
            </w:r>
          </w:p>
          <w:p>
            <w:pPr>
              <w:spacing w:after="20"/>
              <w:ind w:left="20"/>
              <w:jc w:val="both"/>
            </w:pPr>
            <w:r>
              <w:rPr>
                <w:rFonts w:ascii="Times New Roman"/>
                <w:b w:val="false"/>
                <w:i w:val="false"/>
                <w:color w:val="000000"/>
                <w:sz w:val="20"/>
              </w:rPr>
              <w:t>
поддержки</w:t>
            </w:r>
          </w:p>
          <w:p>
            <w:pPr>
              <w:spacing w:after="20"/>
              <w:ind w:left="20"/>
              <w:jc w:val="both"/>
            </w:pPr>
          </w:p>
          <w:p>
            <w:pPr>
              <w:spacing w:after="20"/>
              <w:ind w:left="20"/>
              <w:jc w:val="both"/>
            </w:pPr>
          </w:p>
          <w:p>
            <w:pPr>
              <w:spacing w:after="20"/>
              <w:ind w:left="20"/>
              <w:jc w:val="both"/>
            </w:pPr>
            <w:r>
              <w:drawing>
                <wp:inline distT="0" distB="0" distL="0" distR="0">
                  <wp:extent cx="1155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557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w:t>
            </w:r>
          </w:p>
        </w:tc>
      </w:tr>
    </w:tbl>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5</w:t>
            </w:r>
          </w:p>
        </w:tc>
      </w:tr>
    </w:tbl>
    <w:p>
      <w:pPr>
        <w:spacing w:after="0"/>
        <w:ind w:left="0"/>
        <w:jc w:val="left"/>
      </w:pPr>
    </w:p>
    <w:bookmarkStart w:name="z13" w:id="10"/>
    <w:p>
      <w:pPr>
        <w:spacing w:after="0"/>
        <w:ind w:left="0"/>
        <w:jc w:val="left"/>
      </w:pPr>
      <w:r>
        <w:rPr>
          <w:rFonts w:ascii="Times New Roman"/>
          <w:b/>
          <w:i w:val="false"/>
          <w:color w:val="000000"/>
        </w:rPr>
        <w:t xml:space="preserve"> Вспомогательный расчет государственной</w:t>
      </w:r>
      <w:r>
        <w:br/>
      </w:r>
      <w:r>
        <w:rPr>
          <w:rFonts w:ascii="Times New Roman"/>
          <w:b/>
          <w:i w:val="false"/>
          <w:color w:val="000000"/>
        </w:rPr>
        <w:t>поддержки рыночных цен</w:t>
      </w:r>
      <w:r>
        <w:br/>
      </w:r>
      <w:r>
        <w:rPr>
          <w:rFonts w:ascii="Times New Roman"/>
          <w:b/>
          <w:i w:val="false"/>
          <w:color w:val="000000"/>
        </w:rPr>
        <w:t>сельскохозяйственных товаров</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сельскохозяйственного</w:t>
            </w:r>
          </w:p>
          <w:p>
            <w:pPr>
              <w:spacing w:after="20"/>
              <w:ind w:left="20"/>
              <w:jc w:val="both"/>
            </w:pPr>
            <w:r>
              <w:rPr>
                <w:rFonts w:ascii="Times New Roman"/>
                <w:b w:val="false"/>
                <w:i w:val="false"/>
                <w:color w:val="000000"/>
                <w:sz w:val="20"/>
              </w:rPr>
              <w:t xml:space="preserve">
товара, </w:t>
            </w:r>
          </w:p>
          <w:p>
            <w:pPr>
              <w:spacing w:after="20"/>
              <w:ind w:left="20"/>
              <w:jc w:val="both"/>
            </w:pPr>
            <w:r>
              <w:rPr>
                <w:rFonts w:ascii="Times New Roman"/>
                <w:b w:val="false"/>
                <w:i w:val="false"/>
                <w:color w:val="000000"/>
                <w:sz w:val="20"/>
              </w:rPr>
              <w:t>
в отношении</w:t>
            </w:r>
          </w:p>
          <w:p>
            <w:pPr>
              <w:spacing w:after="20"/>
              <w:ind w:left="20"/>
              <w:jc w:val="both"/>
            </w:pPr>
            <w:r>
              <w:rPr>
                <w:rFonts w:ascii="Times New Roman"/>
                <w:b w:val="false"/>
                <w:i w:val="false"/>
                <w:color w:val="000000"/>
                <w:sz w:val="20"/>
              </w:rPr>
              <w:t>
которого</w:t>
            </w:r>
          </w:p>
          <w:p>
            <w:pPr>
              <w:spacing w:after="20"/>
              <w:ind w:left="20"/>
              <w:jc w:val="both"/>
            </w:pPr>
            <w:r>
              <w:rPr>
                <w:rFonts w:ascii="Times New Roman"/>
                <w:b w:val="false"/>
                <w:i w:val="false"/>
                <w:color w:val="000000"/>
                <w:sz w:val="20"/>
              </w:rPr>
              <w:t>
применяются меры</w:t>
            </w:r>
          </w:p>
          <w:p>
            <w:pPr>
              <w:spacing w:after="20"/>
              <w:ind w:left="20"/>
              <w:jc w:val="both"/>
            </w:pPr>
            <w:r>
              <w:rPr>
                <w:rFonts w:ascii="Times New Roman"/>
                <w:b w:val="false"/>
                <w:i w:val="false"/>
                <w:color w:val="000000"/>
                <w:sz w:val="20"/>
              </w:rPr>
              <w:t>
государственной</w:t>
            </w:r>
          </w:p>
          <w:p>
            <w:pPr>
              <w:spacing w:after="20"/>
              <w:ind w:left="20"/>
              <w:jc w:val="both"/>
            </w:pPr>
            <w:r>
              <w:rPr>
                <w:rFonts w:ascii="Times New Roman"/>
                <w:b w:val="false"/>
                <w:i w:val="false"/>
                <w:color w:val="000000"/>
                <w:sz w:val="20"/>
              </w:rPr>
              <w:t>
поддержки</w:t>
            </w:r>
          </w:p>
          <w:p>
            <w:pPr>
              <w:spacing w:after="20"/>
              <w:ind w:left="20"/>
              <w:jc w:val="both"/>
            </w:pPr>
            <w:r>
              <w:rPr>
                <w:rFonts w:ascii="Times New Roman"/>
                <w:b w:val="false"/>
                <w:i w:val="false"/>
                <w:color w:val="000000"/>
                <w:sz w:val="20"/>
              </w:rPr>
              <w:t>
рыночных цен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w:t>
            </w:r>
          </w:p>
          <w:p>
            <w:pPr>
              <w:spacing w:after="20"/>
              <w:ind w:left="20"/>
              <w:jc w:val="both"/>
            </w:pPr>
            <w:r>
              <w:rPr>
                <w:rFonts w:ascii="Times New Roman"/>
                <w:b w:val="false"/>
                <w:i w:val="false"/>
                <w:color w:val="000000"/>
                <w:sz w:val="20"/>
              </w:rPr>
              <w:t>
государственной</w:t>
            </w:r>
          </w:p>
          <w:p>
            <w:pPr>
              <w:spacing w:after="20"/>
              <w:ind w:left="20"/>
              <w:jc w:val="both"/>
            </w:pPr>
            <w:r>
              <w:rPr>
                <w:rFonts w:ascii="Times New Roman"/>
                <w:b w:val="false"/>
                <w:i w:val="false"/>
                <w:color w:val="000000"/>
                <w:sz w:val="20"/>
              </w:rPr>
              <w:t>
поддержки</w:t>
            </w:r>
          </w:p>
          <w:p>
            <w:pPr>
              <w:spacing w:after="20"/>
              <w:ind w:left="20"/>
              <w:jc w:val="both"/>
            </w:pPr>
            <w:r>
              <w:rPr>
                <w:rFonts w:ascii="Times New Roman"/>
                <w:b w:val="false"/>
                <w:i w:val="false"/>
                <w:color w:val="000000"/>
                <w:sz w:val="20"/>
              </w:rPr>
              <w:t>
рыночной</w:t>
            </w:r>
          </w:p>
          <w:p>
            <w:pPr>
              <w:spacing w:after="20"/>
              <w:ind w:left="20"/>
              <w:jc w:val="both"/>
            </w:pPr>
            <w:r>
              <w:rPr>
                <w:rFonts w:ascii="Times New Roman"/>
                <w:b w:val="false"/>
                <w:i w:val="false"/>
                <w:color w:val="000000"/>
                <w:sz w:val="20"/>
              </w:rPr>
              <w:t>
цены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Применяемая</w:t>
            </w:r>
          </w:p>
          <w:p>
            <w:pPr>
              <w:spacing w:after="20"/>
              <w:ind w:left="20"/>
              <w:jc w:val="both"/>
            </w:pPr>
            <w:r>
              <w:rPr>
                <w:rFonts w:ascii="Times New Roman"/>
                <w:b w:val="false"/>
                <w:i w:val="false"/>
                <w:color w:val="000000"/>
                <w:sz w:val="20"/>
              </w:rPr>
              <w:t>
регулируемая</w:t>
            </w:r>
          </w:p>
          <w:p>
            <w:pPr>
              <w:spacing w:after="20"/>
              <w:ind w:left="20"/>
              <w:jc w:val="both"/>
            </w:pPr>
            <w:r>
              <w:rPr>
                <w:rFonts w:ascii="Times New Roman"/>
                <w:b w:val="false"/>
                <w:i w:val="false"/>
                <w:color w:val="000000"/>
                <w:sz w:val="20"/>
              </w:rPr>
              <w:t>
цена (в национальной</w:t>
            </w:r>
          </w:p>
          <w:p>
            <w:pPr>
              <w:spacing w:after="20"/>
              <w:ind w:left="20"/>
              <w:jc w:val="both"/>
            </w:pPr>
            <w:r>
              <w:rPr>
                <w:rFonts w:ascii="Times New Roman"/>
                <w:b w:val="false"/>
                <w:i w:val="false"/>
                <w:color w:val="000000"/>
                <w:sz w:val="20"/>
              </w:rPr>
              <w:t>
валюте</w:t>
            </w:r>
          </w:p>
          <w:p>
            <w:pPr>
              <w:spacing w:after="20"/>
              <w:ind w:left="20"/>
              <w:jc w:val="both"/>
            </w:pPr>
            <w:r>
              <w:rPr>
                <w:rFonts w:ascii="Times New Roman"/>
                <w:b w:val="false"/>
                <w:i w:val="false"/>
                <w:color w:val="000000"/>
                <w:sz w:val="20"/>
              </w:rPr>
              <w:t>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Справочная</w:t>
            </w:r>
          </w:p>
          <w:p>
            <w:pPr>
              <w:spacing w:after="20"/>
              <w:ind w:left="20"/>
              <w:jc w:val="both"/>
            </w:pPr>
            <w:r>
              <w:rPr>
                <w:rFonts w:ascii="Times New Roman"/>
                <w:b w:val="false"/>
                <w:i w:val="false"/>
                <w:color w:val="000000"/>
                <w:sz w:val="20"/>
              </w:rPr>
              <w:t>
мировая</w:t>
            </w:r>
          </w:p>
          <w:p>
            <w:pPr>
              <w:spacing w:after="20"/>
              <w:ind w:left="20"/>
              <w:jc w:val="both"/>
            </w:pPr>
            <w:r>
              <w:rPr>
                <w:rFonts w:ascii="Times New Roman"/>
                <w:b w:val="false"/>
                <w:i w:val="false"/>
                <w:color w:val="000000"/>
                <w:sz w:val="20"/>
              </w:rPr>
              <w:t>
цена* (в национальной</w:t>
            </w:r>
          </w:p>
          <w:p>
            <w:pPr>
              <w:spacing w:after="20"/>
              <w:ind w:left="20"/>
              <w:jc w:val="both"/>
            </w:pPr>
            <w:r>
              <w:rPr>
                <w:rFonts w:ascii="Times New Roman"/>
                <w:b w:val="false"/>
                <w:i w:val="false"/>
                <w:color w:val="000000"/>
                <w:sz w:val="20"/>
              </w:rPr>
              <w:t>
валюте</w:t>
            </w:r>
          </w:p>
          <w:p>
            <w:pPr>
              <w:spacing w:after="20"/>
              <w:ind w:left="20"/>
              <w:jc w:val="both"/>
            </w:pPr>
            <w:r>
              <w:rPr>
                <w:rFonts w:ascii="Times New Roman"/>
                <w:b w:val="false"/>
                <w:i w:val="false"/>
                <w:color w:val="000000"/>
                <w:sz w:val="20"/>
              </w:rPr>
              <w:t>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сельскохозяйственного</w:t>
            </w:r>
          </w:p>
          <w:p>
            <w:pPr>
              <w:spacing w:after="20"/>
              <w:ind w:left="20"/>
              <w:jc w:val="both"/>
            </w:pPr>
            <w:r>
              <w:rPr>
                <w:rFonts w:ascii="Times New Roman"/>
                <w:b w:val="false"/>
                <w:i w:val="false"/>
                <w:color w:val="000000"/>
                <w:sz w:val="20"/>
              </w:rPr>
              <w:t>
товара,</w:t>
            </w:r>
          </w:p>
          <w:p>
            <w:pPr>
              <w:spacing w:after="20"/>
              <w:ind w:left="20"/>
              <w:jc w:val="both"/>
            </w:pPr>
            <w:r>
              <w:rPr>
                <w:rFonts w:ascii="Times New Roman"/>
                <w:b w:val="false"/>
                <w:i w:val="false"/>
                <w:color w:val="000000"/>
                <w:sz w:val="20"/>
              </w:rPr>
              <w:t>
в отношении</w:t>
            </w:r>
          </w:p>
          <w:p>
            <w:pPr>
              <w:spacing w:after="20"/>
              <w:ind w:left="20"/>
              <w:jc w:val="both"/>
            </w:pPr>
            <w:r>
              <w:rPr>
                <w:rFonts w:ascii="Times New Roman"/>
                <w:b w:val="false"/>
                <w:i w:val="false"/>
                <w:color w:val="000000"/>
                <w:sz w:val="20"/>
              </w:rPr>
              <w:t>
которого</w:t>
            </w:r>
          </w:p>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государственная</w:t>
            </w:r>
          </w:p>
          <w:p>
            <w:pPr>
              <w:spacing w:after="20"/>
              <w:ind w:left="20"/>
              <w:jc w:val="both"/>
            </w:pPr>
            <w:r>
              <w:rPr>
                <w:rFonts w:ascii="Times New Roman"/>
                <w:b w:val="false"/>
                <w:i w:val="false"/>
                <w:color w:val="000000"/>
                <w:sz w:val="20"/>
              </w:rPr>
              <w:t>
поддержка</w:t>
            </w:r>
          </w:p>
          <w:p>
            <w:pPr>
              <w:spacing w:after="20"/>
              <w:ind w:left="20"/>
              <w:jc w:val="both"/>
            </w:pPr>
            <w:r>
              <w:rPr>
                <w:rFonts w:ascii="Times New Roman"/>
                <w:b w:val="false"/>
                <w:i w:val="false"/>
                <w:color w:val="000000"/>
                <w:sz w:val="20"/>
              </w:rPr>
              <w:t>
рыночной</w:t>
            </w:r>
          </w:p>
          <w:p>
            <w:pPr>
              <w:spacing w:after="20"/>
              <w:ind w:left="20"/>
              <w:jc w:val="both"/>
            </w:pPr>
            <w:r>
              <w:rPr>
                <w:rFonts w:ascii="Times New Roman"/>
                <w:b w:val="false"/>
                <w:i w:val="false"/>
                <w:color w:val="000000"/>
                <w:sz w:val="20"/>
              </w:rPr>
              <w:t>
цены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государственной</w:t>
            </w:r>
          </w:p>
          <w:p>
            <w:pPr>
              <w:spacing w:after="20"/>
              <w:ind w:left="20"/>
              <w:jc w:val="both"/>
            </w:pPr>
            <w:r>
              <w:rPr>
                <w:rFonts w:ascii="Times New Roman"/>
                <w:b w:val="false"/>
                <w:i w:val="false"/>
                <w:color w:val="000000"/>
                <w:sz w:val="20"/>
              </w:rPr>
              <w:t>
поддержки</w:t>
            </w:r>
          </w:p>
          <w:p>
            <w:pPr>
              <w:spacing w:after="20"/>
              <w:ind w:left="20"/>
              <w:jc w:val="both"/>
            </w:pPr>
            <w:r>
              <w:rPr>
                <w:rFonts w:ascii="Times New Roman"/>
                <w:b w:val="false"/>
                <w:i w:val="false"/>
                <w:color w:val="000000"/>
                <w:sz w:val="20"/>
              </w:rPr>
              <w:t>
рыночных цен</w:t>
            </w:r>
          </w:p>
          <w:p>
            <w:pPr>
              <w:spacing w:after="20"/>
              <w:ind w:left="20"/>
              <w:jc w:val="both"/>
            </w:pPr>
          </w:p>
          <w:p>
            <w:pPr>
              <w:spacing w:after="20"/>
              <w:ind w:left="20"/>
              <w:jc w:val="both"/>
            </w:pPr>
          </w:p>
          <w:p>
            <w:pPr>
              <w:spacing w:after="20"/>
              <w:ind w:left="20"/>
              <w:jc w:val="both"/>
            </w:pPr>
            <w:r>
              <w:drawing>
                <wp:inline distT="0" distB="0" distL="0" distR="0">
                  <wp:extent cx="1651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0" cy="368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 Используется средняя цена на условиях поставки FOB сельскохозяйственного товара за отчетный год, если государство – член Таможенного союза и Единого экономического пространства является нетто-экспортером этого товара в третьи страны, или средняя цена на условиях поставки CIF сельскохозяйственного товара за отчетный год, если государство – член Таможенного союза и Единого экономического пространства является нетто-импортером этого товара по отношению к третьим странам. Источником получения информации о справочных мировых ценах является статистика внешней торговли государств – членов Таможенного союза и Единого экономического пространства. Справочная мировая цена при необходимости может быть скорректирована с учетом качества и степени переработки товаров (в случае такой корректировки представляется пояснительная записка с описанием процедуры корректировки). Если количество сельскохозяйственного товара, в отношении которого применяется государственная поддержка рыночной цены, не установлено в нормативном правовом акте государства – члена Таможенного союза и Единого экономического пространства или ином документе, на основании которого предоставляется государственная поддержка, то размер государственной поддержки рыночной цены исчисляется в отношении всего объема производства этого сельскохозяйственного товара.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