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6358" w14:textId="a976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установлении ставки ввозной таможенной пошлины Единого таможенного тарифа Таможенного союза в отношении анилина и его солей"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июля 2014 года №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Совета Евразийской экономической комиссии «Об установлении ставки ввозной таможенной пошлины Единого таможенного тарифа Таможенного союза в отношении анилина и его солей»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 20  г.  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ставки ввозной таможенной пошлины</w:t>
      </w:r>
      <w:r>
        <w:br/>
      </w:r>
      <w:r>
        <w:rPr>
          <w:rFonts w:ascii="Times New Roman"/>
          <w:b/>
          <w:i w:val="false"/>
          <w:color w:val="000000"/>
        </w:rPr>
        <w:t>
Единого таможенного тарифа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 xml:space="preserve">
в отношении анилина и его солей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анилина и его солей, классифицируемых кодом 2921 41 000 0 ТН ВЭД ТС, в размере 0 процентов от таможенной стоимости с даты вступления в силу настоящего Решения по 31 декабря 2015 г.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2921 41 000 0 ТН ВЭД ТС в графе четвертой дополнить ссылкой на примечание «</w:t>
      </w:r>
      <w:r>
        <w:rPr>
          <w:rFonts w:ascii="Times New Roman"/>
          <w:b w:val="false"/>
          <w:i w:val="false"/>
          <w:color w:val="000000"/>
          <w:vertAlign w:val="superscript"/>
        </w:rPr>
        <w:t>32С)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Таможенного союза дополнить примечанием 32С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32С)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2014 г. № по 31.12.2015 включительно.».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