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6654" w14:textId="6fb6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Концепции использования при межгосударственном информационном взаимодействии сервисов и имеющих юридическую силу электронных документов"</w:t>
      </w:r>
    </w:p>
    <w:p>
      <w:pPr>
        <w:spacing w:after="0"/>
        <w:ind w:left="0"/>
        <w:jc w:val="both"/>
      </w:pPr>
      <w:r>
        <w:rPr>
          <w:rFonts w:ascii="Times New Roman"/>
          <w:b w:val="false"/>
          <w:i w:val="false"/>
          <w:color w:val="000000"/>
          <w:sz w:val="28"/>
        </w:rPr>
        <w:t>Решение Коллегии Евразийской экономической комиссии от 1 сентября 2014 года № 154</w:t>
      </w:r>
    </w:p>
    <w:p>
      <w:pPr>
        <w:spacing w:after="0"/>
        <w:ind w:left="0"/>
        <w:jc w:val="both"/>
      </w:pPr>
      <w:r>
        <w:rPr>
          <w:rFonts w:ascii="Times New Roman"/>
          <w:b w:val="false"/>
          <w:i w:val="false"/>
          <w:color w:val="000000"/>
          <w:sz w:val="28"/>
        </w:rPr>
        <w:t xml:space="preserve">      В соответствии с Договором о Евразийском экономическом союзе, подписанным 29 мая 2014 г., и Техническим заданием на создание Интегрированной информационной системы внешней и взаимной торговли Таможенного союза, утвержденным Решением Комиссии Таможенного союза от 16 августа 2011 г. № 771,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1. Одобрить проект решения Совета Евразийской экономической комиссии «О Концепции использования при межгосударственном информационном взаимодействии сервисов и имеющих юридическую силу электронных документов»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83947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94700" cy="2273300"/>
                    </a:xfrm>
                    <a:prstGeom prst="rect">
                      <a:avLst/>
                    </a:prstGeom>
                  </pic:spPr>
                </pic:pic>
              </a:graphicData>
            </a:graphic>
          </wp:inline>
        </w:drawing>
      </w:r>
    </w:p>
    <w:p>
      <w:pPr>
        <w:spacing w:after="0"/>
        <w:ind w:left="0"/>
        <w:jc w:val="left"/>
      </w:pPr>
      <w:r>
        <w:rPr>
          <w:rFonts w:ascii="Times New Roman"/>
          <w:b/>
          <w:i w:val="false"/>
          <w:color w:val="000000"/>
        </w:rPr>
        <w:t xml:space="preserve"> РЕШЕНИЕ</w:t>
      </w:r>
    </w:p>
    <w:p>
      <w:pPr>
        <w:spacing w:after="0"/>
        <w:ind w:left="0"/>
        <w:jc w:val="left"/>
      </w:pPr>
      <w:r>
        <w:rPr>
          <w:rFonts w:ascii="Times New Roman"/>
          <w:b/>
          <w:i w:val="false"/>
          <w:color w:val="000000"/>
        </w:rPr>
        <w:t xml:space="preserve"> « »        20  г.           №                       г.</w:t>
      </w:r>
    </w:p>
    <w:p>
      <w:pPr>
        <w:spacing w:after="0"/>
        <w:ind w:left="0"/>
        <w:jc w:val="left"/>
      </w:pPr>
      <w:r>
        <w:rPr>
          <w:rFonts w:ascii="Times New Roman"/>
          <w:b/>
          <w:i w:val="false"/>
          <w:color w:val="000000"/>
        </w:rPr>
        <w:t xml:space="preserve"> О Концепции использования при межгосударственном</w:t>
      </w:r>
      <w:r>
        <w:br/>
      </w:r>
      <w:r>
        <w:rPr>
          <w:rFonts w:ascii="Times New Roman"/>
          <w:b/>
          <w:i w:val="false"/>
          <w:color w:val="000000"/>
        </w:rPr>
        <w:t>
информационном взаимодействии сервисов и имеющих</w:t>
      </w:r>
      <w:r>
        <w:br/>
      </w:r>
      <w:r>
        <w:rPr>
          <w:rFonts w:ascii="Times New Roman"/>
          <w:b/>
          <w:i w:val="false"/>
          <w:color w:val="000000"/>
        </w:rPr>
        <w:t>
юридическую силу электронных документов</w:t>
      </w:r>
    </w:p>
    <w:p>
      <w:pPr>
        <w:spacing w:after="0"/>
        <w:ind w:left="0"/>
        <w:jc w:val="both"/>
      </w:pPr>
      <w:r>
        <w:rPr>
          <w:rFonts w:ascii="Times New Roman"/>
          <w:b w:val="false"/>
          <w:i w:val="false"/>
          <w:color w:val="000000"/>
          <w:sz w:val="28"/>
        </w:rPr>
        <w:t xml:space="preserve">      В соответствии с пунктом 22 Положения о Евразийской экономической комиссии (приложение № 1 к Договору о Евразийском экономическом союзе от 29 мая 2014 года), в рамках осуществления общего регулирования интеграционных процессов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1. Утвердить прилагаемую Концепцию использования при межгосударственном информационном взаимодействии сервисов и имеющих юридическую силу электронных документов.</w:t>
      </w:r>
      <w:r>
        <w:br/>
      </w:r>
      <w:r>
        <w:rPr>
          <w:rFonts w:ascii="Times New Roman"/>
          <w:b w:val="false"/>
          <w:i w:val="false"/>
          <w:color w:val="000000"/>
          <w:sz w:val="28"/>
        </w:rPr>
        <w:t>
      2. Настоящее Решение вступает в силу с даты вступления в силу Договора о Евразийском экономическом союзе от 29 мая 2014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4354"/>
        <w:gridCol w:w="43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2014 г. №     </w:t>
      </w:r>
    </w:p>
    <w:p>
      <w:pPr>
        <w:spacing w:after="0"/>
        <w:ind w:left="0"/>
        <w:jc w:val="left"/>
      </w:pPr>
      <w:r>
        <w:rPr>
          <w:rFonts w:ascii="Times New Roman"/>
          <w:b/>
          <w:i w:val="false"/>
          <w:color w:val="000000"/>
        </w:rPr>
        <w:t xml:space="preserve"> КОНЦЕПЦИЯ</w:t>
      </w:r>
      <w:r>
        <w:br/>
      </w:r>
      <w:r>
        <w:rPr>
          <w:rFonts w:ascii="Times New Roman"/>
          <w:b/>
          <w:i w:val="false"/>
          <w:color w:val="000000"/>
        </w:rPr>
        <w:t>
использования при межгосударственном</w:t>
      </w:r>
      <w:r>
        <w:br/>
      </w:r>
      <w:r>
        <w:rPr>
          <w:rFonts w:ascii="Times New Roman"/>
          <w:b/>
          <w:i w:val="false"/>
          <w:color w:val="000000"/>
        </w:rPr>
        <w:t>
информационном взаимодействии сервисов и</w:t>
      </w:r>
      <w:r>
        <w:br/>
      </w:r>
      <w:r>
        <w:rPr>
          <w:rFonts w:ascii="Times New Roman"/>
          <w:b/>
          <w:i w:val="false"/>
          <w:color w:val="000000"/>
        </w:rPr>
        <w:t>
имеющих юридическую силу электронных документов</w:t>
      </w:r>
    </w:p>
    <w:p>
      <w:pPr>
        <w:spacing w:after="0"/>
        <w:ind w:left="0"/>
        <w:jc w:val="both"/>
      </w:pPr>
      <w:r>
        <w:rPr>
          <w:rFonts w:ascii="Times New Roman"/>
          <w:b w:val="false"/>
          <w:i w:val="false"/>
          <w:color w:val="000000"/>
          <w:sz w:val="28"/>
        </w:rPr>
        <w:t>I. Необходимость обеспечения юридической силы</w:t>
      </w:r>
      <w:r>
        <w:br/>
      </w:r>
      <w:r>
        <w:rPr>
          <w:rFonts w:ascii="Times New Roman"/>
          <w:b w:val="false"/>
          <w:i w:val="false"/>
          <w:color w:val="000000"/>
          <w:sz w:val="28"/>
        </w:rPr>
        <w:t>
электронных документов при трансграничном обмене данными</w:t>
      </w:r>
    </w:p>
    <w:p>
      <w:pPr>
        <w:spacing w:after="0"/>
        <w:ind w:left="0"/>
        <w:jc w:val="both"/>
      </w:pPr>
      <w:r>
        <w:rPr>
          <w:rFonts w:ascii="Times New Roman"/>
          <w:b w:val="false"/>
          <w:i w:val="false"/>
          <w:color w:val="000000"/>
          <w:sz w:val="28"/>
        </w:rPr>
        <w:t>      В соответствии с законодательством государств – членов Евразийского экономического союза (далее соответственно – государства-члены, Союз) документ в электронном виде, подписанный соответствующей законодательству электронной цифровой подписью (электронной подписью) (далее – ЭЦП), признается электронным документом, равным по юридической силе аналогичному документу на бумажном носителе, заверенному подписью (подписью и печатью) составителя такого документа.</w:t>
      </w:r>
      <w:r>
        <w:br/>
      </w:r>
      <w:r>
        <w:rPr>
          <w:rFonts w:ascii="Times New Roman"/>
          <w:b w:val="false"/>
          <w:i w:val="false"/>
          <w:color w:val="000000"/>
          <w:sz w:val="28"/>
        </w:rPr>
        <w:t>
      При этом в государствах-членах в соответствии с их законодательством обеспечение юридической силы электронных документов и организация защищенного документооборота построены на гарантиях их подлинности и целостности посредством применения национальных криптографических методов и средств.</w:t>
      </w:r>
      <w:r>
        <w:br/>
      </w:r>
      <w:r>
        <w:rPr>
          <w:rFonts w:ascii="Times New Roman"/>
          <w:b w:val="false"/>
          <w:i w:val="false"/>
          <w:color w:val="000000"/>
          <w:sz w:val="28"/>
        </w:rPr>
        <w:t>
      Государства-члены используют национальные стандарты криптографических алгоритмов создания и проверки ЭЦП. Применяемые органами государственной власти государств-членов способы реализации криптографических алгоритмов между собой несовместимы, что обусловлено различными подходами к обеспечению информационной безопасности.</w:t>
      </w:r>
      <w:r>
        <w:br/>
      </w:r>
      <w:r>
        <w:rPr>
          <w:rFonts w:ascii="Times New Roman"/>
          <w:b w:val="false"/>
          <w:i w:val="false"/>
          <w:color w:val="000000"/>
          <w:sz w:val="28"/>
        </w:rPr>
        <w:t>
      Применение единых криптографических средств ЭЦП при трансграничном электронном обмене данными между органами государственной власти государств-членов в настоящее время невозможно, поскольку в соответствии с нормативно-правовой базой государств-членов к использованию в государствах-членах допускаются только сертифицированные по национальным стандартам криптографические средства.</w:t>
      </w:r>
      <w:r>
        <w:br/>
      </w:r>
      <w:r>
        <w:rPr>
          <w:rFonts w:ascii="Times New Roman"/>
          <w:b w:val="false"/>
          <w:i w:val="false"/>
          <w:color w:val="000000"/>
          <w:sz w:val="28"/>
        </w:rPr>
        <w:t>
      Решение задач надежной и эффективной интеграции территориально распределенных государственных информационных ресурсов и информационных систем органов государств-членов, обеспечения взаимодействия органов власти государств-членов в электронном виде, в том числе предоставление возможности обмена электронными документами, имеющими юридическую силу (или взаимно признаваемыми таковыми), является одним из ключевых направлений работ по созданию и внедрению интегрированной информационной системы Евразийского экономического союза (далее – интегрированная система).</w:t>
      </w:r>
      <w:r>
        <w:br/>
      </w:r>
      <w:r>
        <w:rPr>
          <w:rFonts w:ascii="Times New Roman"/>
          <w:b w:val="false"/>
          <w:i w:val="false"/>
          <w:color w:val="000000"/>
          <w:sz w:val="28"/>
        </w:rPr>
        <w:t>
      Обеспечение трансграничного обмена имеющими юридическую силу электронными документами в интегрированной системе реализуется на основе применения создаваемой службы доверенной третьей стороны, основными задачами которой являются:</w:t>
      </w:r>
      <w:r>
        <w:br/>
      </w:r>
      <w:r>
        <w:rPr>
          <w:rFonts w:ascii="Times New Roman"/>
          <w:b w:val="false"/>
          <w:i w:val="false"/>
          <w:color w:val="000000"/>
          <w:sz w:val="28"/>
        </w:rPr>
        <w:t>
      осуществление легализации (подтверждение подлинности) электронных документов и ЭЦП субъектов информационного взаимодействия в фиксированный момент времени;</w:t>
      </w:r>
      <w:r>
        <w:br/>
      </w:r>
      <w:r>
        <w:rPr>
          <w:rFonts w:ascii="Times New Roman"/>
          <w:b w:val="false"/>
          <w:i w:val="false"/>
          <w:color w:val="000000"/>
          <w:sz w:val="28"/>
        </w:rPr>
        <w:t>
      обеспечение проверки ЭЦП отправителя, созданной в соответствии с законодательством государства-члена, в юрисдикции которого находится этот отправитель;</w:t>
      </w:r>
      <w:r>
        <w:br/>
      </w:r>
      <w:r>
        <w:rPr>
          <w:rFonts w:ascii="Times New Roman"/>
          <w:b w:val="false"/>
          <w:i w:val="false"/>
          <w:color w:val="000000"/>
          <w:sz w:val="28"/>
        </w:rPr>
        <w:t>
      обеспечение гарантий доверия в международном (трансграничном) обмене электронными документами;</w:t>
      </w:r>
      <w:r>
        <w:br/>
      </w:r>
      <w:r>
        <w:rPr>
          <w:rFonts w:ascii="Times New Roman"/>
          <w:b w:val="false"/>
          <w:i w:val="false"/>
          <w:color w:val="000000"/>
          <w:sz w:val="28"/>
        </w:rPr>
        <w:t>
      обеспечение правомерности применения ЭЦП в исходящих и (или) входящих электронных документах в соответствии с законодательством государств-членов и актами Евразийской экономической комиссии (далее – Комиссия).</w:t>
      </w:r>
      <w:r>
        <w:br/>
      </w:r>
      <w:r>
        <w:rPr>
          <w:rFonts w:ascii="Times New Roman"/>
          <w:b w:val="false"/>
          <w:i w:val="false"/>
          <w:color w:val="000000"/>
          <w:sz w:val="28"/>
        </w:rPr>
        <w:t>
      Применение технологии ЭЦП на основе инфраструктуры открытых ключей позволит обеспечить надежную идентификацию отправителей электронных документов как подтверждение их волеизъявления и правомочности, а также неотказуемость авторства и контроль целостности передаваемых электронных документов.</w:t>
      </w:r>
    </w:p>
    <w:p>
      <w:pPr>
        <w:spacing w:after="0"/>
        <w:ind w:left="0"/>
        <w:jc w:val="both"/>
      </w:pPr>
      <w:r>
        <w:rPr>
          <w:rFonts w:ascii="Times New Roman"/>
          <w:b w:val="false"/>
          <w:i w:val="false"/>
          <w:color w:val="000000"/>
          <w:sz w:val="28"/>
        </w:rPr>
        <w:t>II. Определения</w:t>
      </w:r>
    </w:p>
    <w:p>
      <w:pPr>
        <w:spacing w:after="0"/>
        <w:ind w:left="0"/>
        <w:jc w:val="both"/>
      </w:pPr>
      <w:r>
        <w:rPr>
          <w:rFonts w:ascii="Times New Roman"/>
          <w:b w:val="false"/>
          <w:i w:val="false"/>
          <w:color w:val="000000"/>
          <w:sz w:val="28"/>
        </w:rPr>
        <w:t>      Для целей настоящей Концепции используются понятия, которые означают следующее:</w:t>
      </w:r>
      <w:r>
        <w:br/>
      </w:r>
      <w:r>
        <w:rPr>
          <w:rFonts w:ascii="Times New Roman"/>
          <w:b w:val="false"/>
          <w:i w:val="false"/>
          <w:color w:val="000000"/>
          <w:sz w:val="28"/>
        </w:rPr>
        <w:t>
      «доверенная третья сторона» – организация, наделенная</w:t>
      </w:r>
      <w:r>
        <w:br/>
      </w:r>
      <w:r>
        <w:rPr>
          <w:rFonts w:ascii="Times New Roman"/>
          <w:b w:val="false"/>
          <w:i w:val="false"/>
          <w:color w:val="000000"/>
          <w:sz w:val="28"/>
        </w:rPr>
        <w:t>
в соответствии с законодательством государств-членов правом осуществлять деятельность по проверке ЭЦП в электронных документах в фиксированный момент времени в отношении лица, подписавшего электронный документ;</w:t>
      </w:r>
      <w:r>
        <w:br/>
      </w:r>
      <w:r>
        <w:rPr>
          <w:rFonts w:ascii="Times New Roman"/>
          <w:b w:val="false"/>
          <w:i w:val="false"/>
          <w:color w:val="000000"/>
          <w:sz w:val="28"/>
        </w:rPr>
        <w:t>
      «интеграционный шлюз» – программно-аппаратный комплекс, обеспечивающий взаимодействие межгосударственных и межведомственных информационных систем государств-членов и Комиссии при обмене данными;</w:t>
      </w:r>
      <w:r>
        <w:br/>
      </w:r>
      <w:r>
        <w:rPr>
          <w:rFonts w:ascii="Times New Roman"/>
          <w:b w:val="false"/>
          <w:i w:val="false"/>
          <w:color w:val="000000"/>
          <w:sz w:val="28"/>
        </w:rPr>
        <w:t>
      «общая инфраструктура документирования информации</w:t>
      </w:r>
      <w:r>
        <w:br/>
      </w:r>
      <w:r>
        <w:rPr>
          <w:rFonts w:ascii="Times New Roman"/>
          <w:b w:val="false"/>
          <w:i w:val="false"/>
          <w:color w:val="000000"/>
          <w:sz w:val="28"/>
        </w:rPr>
        <w:t>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r>
        <w:br/>
      </w:r>
      <w:r>
        <w:rPr>
          <w:rFonts w:ascii="Times New Roman"/>
          <w:b w:val="false"/>
          <w:i w:val="false"/>
          <w:color w:val="000000"/>
          <w:sz w:val="28"/>
        </w:rPr>
        <w:t>
      «служба доверенной третьей стороны интегрированной системы» – совокупность сервисов доверенной третьей стороны государств-членов и Комиссии, обеспечивающих единое трансграничное пространство доверия ЭЦП при электронной форме взаимодействия субъектов средствами интегрированной системы;</w:t>
      </w:r>
      <w:r>
        <w:br/>
      </w:r>
      <w:r>
        <w:rPr>
          <w:rFonts w:ascii="Times New Roman"/>
          <w:b w:val="false"/>
          <w:i w:val="false"/>
          <w:color w:val="000000"/>
          <w:sz w:val="28"/>
        </w:rPr>
        <w:t>
      «трансграничное пространство доверия» –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w:t>
      </w:r>
      <w:r>
        <w:br/>
      </w:r>
      <w:r>
        <w:rPr>
          <w:rFonts w:ascii="Times New Roman"/>
          <w:b w:val="false"/>
          <w:i w:val="false"/>
          <w:color w:val="000000"/>
          <w:sz w:val="28"/>
        </w:rPr>
        <w:t>
      «электронная форма взаимодействия» – способ информационного взаимодействия, основанный на применении информационно-коммуникационных технологий;</w:t>
      </w:r>
      <w:r>
        <w:br/>
      </w:r>
      <w:r>
        <w:rPr>
          <w:rFonts w:ascii="Times New Roman"/>
          <w:b w:val="false"/>
          <w:i w:val="false"/>
          <w:color w:val="000000"/>
          <w:sz w:val="28"/>
        </w:rPr>
        <w:t>
      «электронный вид документа» – информация, сведения,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 информационно-коммуникационных технологий, с соблюдением установленных требований к формату и структуре;</w:t>
      </w:r>
      <w:r>
        <w:br/>
      </w:r>
      <w:r>
        <w:rPr>
          <w:rFonts w:ascii="Times New Roman"/>
          <w:b w:val="false"/>
          <w:i w:val="false"/>
          <w:color w:val="000000"/>
          <w:sz w:val="28"/>
        </w:rPr>
        <w:t xml:space="preserve">
      «электронный документ» – документ в электронном виде, заверенный ЭЦП и отвечающий требованиям общей инфраструктуры документирования информации в электронном виде; </w:t>
      </w:r>
      <w:r>
        <w:br/>
      </w:r>
      <w:r>
        <w:rPr>
          <w:rFonts w:ascii="Times New Roman"/>
          <w:b w:val="false"/>
          <w:i w:val="false"/>
          <w:color w:val="000000"/>
          <w:sz w:val="28"/>
        </w:rPr>
        <w:t>
      «юридическая значимость электронного документа» – свойство электронного документа, позволяющее воспринимать содержание данного документа как подлинное;</w:t>
      </w:r>
      <w:r>
        <w:br/>
      </w:r>
      <w:r>
        <w:rPr>
          <w:rFonts w:ascii="Times New Roman"/>
          <w:b w:val="false"/>
          <w:i w:val="false"/>
          <w:color w:val="000000"/>
          <w:sz w:val="28"/>
        </w:rPr>
        <w:t>
      «юридическая сила электронного документа» – свойство защищенного электронного документа, формы представления и оборота которого (его подлинность и целостность) подтверждены доверенной третьей стороной и которое при осуществлении международного (трансграничного) обмена электронными документами предоставляет возможность использовать электронные документы по назначению и в качестве прямых доказательств в судебных спорах и разбирательствах.</w:t>
      </w:r>
    </w:p>
    <w:p>
      <w:pPr>
        <w:spacing w:after="0"/>
        <w:ind w:left="0"/>
        <w:jc w:val="both"/>
      </w:pPr>
      <w:r>
        <w:rPr>
          <w:rFonts w:ascii="Times New Roman"/>
          <w:b w:val="false"/>
          <w:i w:val="false"/>
          <w:color w:val="000000"/>
          <w:sz w:val="28"/>
        </w:rPr>
        <w:t>III. Цели и область применения Концепции</w:t>
      </w:r>
    </w:p>
    <w:p>
      <w:pPr>
        <w:spacing w:after="0"/>
        <w:ind w:left="0"/>
        <w:jc w:val="both"/>
      </w:pPr>
      <w:r>
        <w:rPr>
          <w:rFonts w:ascii="Times New Roman"/>
          <w:b w:val="false"/>
          <w:i w:val="false"/>
          <w:color w:val="000000"/>
          <w:sz w:val="28"/>
        </w:rPr>
        <w:t>      Настоящая Концепция определяет общие подходы к организации процесса обеспечения юридически значимого взаимодействия в рамках Союза при трансграничном электронном взаимодействии в интегрированной системе.</w:t>
      </w:r>
      <w:r>
        <w:br/>
      </w:r>
      <w:r>
        <w:rPr>
          <w:rFonts w:ascii="Times New Roman"/>
          <w:b w:val="false"/>
          <w:i w:val="false"/>
          <w:color w:val="000000"/>
          <w:sz w:val="28"/>
        </w:rPr>
        <w:t>
      Обеспечение юридически значимого взаимодействия в рамках Союза в соответствии с настоящей Концепцией является необходимым условием обеспечения юридической силы электронных документов, передаваемых в рамках интегрированной системы.</w:t>
      </w:r>
      <w:r>
        <w:br/>
      </w:r>
      <w:r>
        <w:rPr>
          <w:rFonts w:ascii="Times New Roman"/>
          <w:b w:val="false"/>
          <w:i w:val="false"/>
          <w:color w:val="000000"/>
          <w:sz w:val="28"/>
        </w:rPr>
        <w:t>
      Настоящая Концепция разработана в соответствии с пунктом 13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с учетом мирового опыта и имеющейся практики обеспечения юридической силы электронных документов при трансграничном электронном взаимодействии на основе доверенных сервисов в соответствии с международными рекомендациями ITU-T серии Х.842 комитета по стандартизации электросвязи Международного союза электросвязи.</w:t>
      </w:r>
      <w:r>
        <w:br/>
      </w:r>
      <w:r>
        <w:rPr>
          <w:rFonts w:ascii="Times New Roman"/>
          <w:b w:val="false"/>
          <w:i w:val="false"/>
          <w:color w:val="000000"/>
          <w:sz w:val="28"/>
        </w:rPr>
        <w:t>
      Целями настоящей Концепции являются определение принципов реализации в интегрированной системе юридически значимого взаимодействия в рамках Союза и установление порядка признания юридического значения электронных документов с использованием необходимых организационных, технических и правовых подходов.</w:t>
      </w:r>
      <w:r>
        <w:br/>
      </w:r>
      <w:r>
        <w:rPr>
          <w:rFonts w:ascii="Times New Roman"/>
          <w:b w:val="false"/>
          <w:i w:val="false"/>
          <w:color w:val="000000"/>
          <w:sz w:val="28"/>
        </w:rPr>
        <w:t>
      Положения, определенные настоящей Концепцией, могут быть использованы при разработке актов органов Союза и государств-членов по вопросам реализации межгосударственного информационного обмена электронными документами между уполномоченными органами государств-членов (уполномоченными органами государств-членов и Комиссией) (далее – участники информационного обмена), в том числе при официальном подтверждении в государствах-членах или Комиссии юридической силы электронных документов, сформированных во всех государствах-членах или Комиссии с использованием средств интегрированной системы.</w:t>
      </w:r>
      <w:r>
        <w:br/>
      </w:r>
      <w:r>
        <w:rPr>
          <w:rFonts w:ascii="Times New Roman"/>
          <w:b w:val="false"/>
          <w:i w:val="false"/>
          <w:color w:val="000000"/>
          <w:sz w:val="28"/>
        </w:rPr>
        <w:t>
      Установление и применение условий признания юридической силы электронных документов и доверия к ЭЦП на электронных документах, сформированных в установленном порядке уполномоченными органами одного государства-члена при обмене с уполномоченными органами другого государства-члена с использованием средств интегрированной системы, не зависят от выбора формы и форматов представления и оборота электронных документов и их ЭЦП, применяемых в информационных системах государств-членов.</w:t>
      </w:r>
      <w:r>
        <w:br/>
      </w:r>
      <w:r>
        <w:rPr>
          <w:rFonts w:ascii="Times New Roman"/>
          <w:b w:val="false"/>
          <w:i w:val="false"/>
          <w:color w:val="000000"/>
          <w:sz w:val="28"/>
        </w:rPr>
        <w:t>
      Принципы настоящей Концепции могут быть применимы при расширении состава участников информационного обмена, в том числе при реализации межгосударственного информационного обмена электронными документами между субъектами предпринимательской деятельности, некоммерческими организациями и физическими лицами государств-членов.</w:t>
      </w:r>
      <w:r>
        <w:br/>
      </w:r>
      <w:r>
        <w:rPr>
          <w:rFonts w:ascii="Times New Roman"/>
          <w:b w:val="false"/>
          <w:i w:val="false"/>
          <w:color w:val="000000"/>
          <w:sz w:val="28"/>
        </w:rPr>
        <w:t>
      Принципы, связанные с расширением области применения настоящей Концепции, должны быть определены в стратегии использования при межгосударственном информационном взаимодействии сервисов и имеющих юридическую силу электронных документов.</w:t>
      </w:r>
    </w:p>
    <w:p>
      <w:pPr>
        <w:spacing w:after="0"/>
        <w:ind w:left="0"/>
        <w:jc w:val="both"/>
      </w:pPr>
      <w:r>
        <w:rPr>
          <w:rFonts w:ascii="Times New Roman"/>
          <w:b w:val="false"/>
          <w:i w:val="false"/>
          <w:color w:val="000000"/>
          <w:sz w:val="28"/>
        </w:rPr>
        <w:t>IV. Обоснование подхода к обеспечению юридической силы</w:t>
      </w:r>
      <w:r>
        <w:br/>
      </w:r>
      <w:r>
        <w:rPr>
          <w:rFonts w:ascii="Times New Roman"/>
          <w:b w:val="false"/>
          <w:i w:val="false"/>
          <w:color w:val="000000"/>
          <w:sz w:val="28"/>
        </w:rPr>
        <w:t>
передаваемых документов в рамках электронной формы взаимодействия</w:t>
      </w:r>
    </w:p>
    <w:p>
      <w:pPr>
        <w:spacing w:after="0"/>
        <w:ind w:left="0"/>
        <w:jc w:val="both"/>
      </w:pPr>
      <w:r>
        <w:rPr>
          <w:rFonts w:ascii="Times New Roman"/>
          <w:b w:val="false"/>
          <w:i w:val="false"/>
          <w:color w:val="000000"/>
          <w:sz w:val="28"/>
        </w:rPr>
        <w:t>1. Юридическая сила и юридическая значимость</w:t>
      </w:r>
    </w:p>
    <w:p>
      <w:pPr>
        <w:spacing w:after="0"/>
        <w:ind w:left="0"/>
        <w:jc w:val="both"/>
      </w:pPr>
      <w:r>
        <w:rPr>
          <w:rFonts w:ascii="Times New Roman"/>
          <w:b w:val="false"/>
          <w:i w:val="false"/>
          <w:color w:val="000000"/>
          <w:sz w:val="28"/>
        </w:rPr>
        <w:t>      Юридическая сила электронного документа обеспечивается на основании законодательства государств-членов с учетом содержания данного документа, а также системы отношений, в рамках которой соответствующий документ был передан от одного лица другому.</w:t>
      </w:r>
      <w:r>
        <w:br/>
      </w:r>
      <w:r>
        <w:rPr>
          <w:rFonts w:ascii="Times New Roman"/>
          <w:b w:val="false"/>
          <w:i w:val="false"/>
          <w:color w:val="000000"/>
          <w:sz w:val="28"/>
        </w:rPr>
        <w:t>
      Юридическая значимость электронных и бумажных документов заключается в способности изменять правовой статус субъектов права, в том числе находящихся в различных юрисдикциях.</w:t>
      </w:r>
      <w:r>
        <w:br/>
      </w:r>
      <w:r>
        <w:rPr>
          <w:rFonts w:ascii="Times New Roman"/>
          <w:b w:val="false"/>
          <w:i w:val="false"/>
          <w:color w:val="000000"/>
          <w:sz w:val="28"/>
        </w:rPr>
        <w:t>
      Юридическая значимость проистекает из содержания электронных и бумажных документов и обеспечивается в том числе за счет использования набора реквизитов для бумажных документов или совокупности доверенных информационно-безопасных сервисов (в том числе ЭЦП, метки времени, сервиса идентификации и аутентификации) и организационно-правовых механизмов (в том числе лицензирование, сертификация, аудит) для электронных документов.</w:t>
      </w:r>
      <w:r>
        <w:br/>
      </w:r>
      <w:r>
        <w:rPr>
          <w:rFonts w:ascii="Times New Roman"/>
          <w:b w:val="false"/>
          <w:i w:val="false"/>
          <w:color w:val="000000"/>
          <w:sz w:val="28"/>
        </w:rPr>
        <w:t xml:space="preserve">
      Необходимый и достаточный набор доверенных сервисов и организационно-правовых механизмов, обеспечивающих юридическую значимость электронных документов с учетом поэтапного внедрения информационно-безопасных инфраструктур, определяется владельцем информационной системы или соглашением между владельцами взаимодействующих информационных систем. </w:t>
      </w:r>
      <w:r>
        <w:br/>
      </w:r>
      <w:r>
        <w:rPr>
          <w:rFonts w:ascii="Times New Roman"/>
          <w:b w:val="false"/>
          <w:i w:val="false"/>
          <w:color w:val="000000"/>
          <w:sz w:val="28"/>
        </w:rPr>
        <w:t xml:space="preserve">
      Таким образом, обеспечение в рамках интегрированной системы юридически значимого взаимодействия обеспечивает юридическую силу электронных документов, передаваемых в процессе взаимодействия. </w:t>
      </w:r>
      <w:r>
        <w:br/>
      </w:r>
      <w:r>
        <w:rPr>
          <w:rFonts w:ascii="Times New Roman"/>
          <w:b w:val="false"/>
          <w:i w:val="false"/>
          <w:color w:val="000000"/>
          <w:sz w:val="28"/>
        </w:rPr>
        <w:t>
      Поскольку при трансграничном обмене проверка в государстве-члене ЭЦП, созданной в соответствии с законодательством другого государства, технологически невозможна в юрисдикции получателя (в силу несовместимости национальных криптографических алгоритмов), однако допускается юридически. Способом обеспечения такой проверки является использование сервиса доверенной третьей стороны.</w:t>
      </w:r>
      <w:r>
        <w:br/>
      </w:r>
      <w:r>
        <w:rPr>
          <w:rFonts w:ascii="Times New Roman"/>
          <w:b w:val="false"/>
          <w:i w:val="false"/>
          <w:color w:val="000000"/>
          <w:sz w:val="28"/>
        </w:rPr>
        <w:t>
      Системные подходы к обеспечению качества юридической значимости трансграничного электронного документооборота раскрываются в стратегии использования при межгосударственном информационном взаимодействии сервисов и имеющих юридическую силу электронных документов.</w:t>
      </w:r>
    </w:p>
    <w:p>
      <w:pPr>
        <w:spacing w:after="0"/>
        <w:ind w:left="0"/>
        <w:jc w:val="both"/>
      </w:pPr>
      <w:r>
        <w:rPr>
          <w:rFonts w:ascii="Times New Roman"/>
          <w:b w:val="false"/>
          <w:i w:val="false"/>
          <w:color w:val="000000"/>
          <w:sz w:val="28"/>
        </w:rPr>
        <w:t>2. Доверенная третья сторона</w:t>
      </w:r>
    </w:p>
    <w:p>
      <w:pPr>
        <w:spacing w:after="0"/>
        <w:ind w:left="0"/>
        <w:jc w:val="both"/>
      </w:pPr>
      <w:r>
        <w:rPr>
          <w:rFonts w:ascii="Times New Roman"/>
          <w:b w:val="false"/>
          <w:i w:val="false"/>
          <w:color w:val="000000"/>
          <w:sz w:val="28"/>
        </w:rPr>
        <w:t>      Доверенные третьи стороны организуются на уровне каждого государства-члена, а также в Комиссии. С технической точки зрения взаимосвязанная инфраструктура доверенных третьих сторон (программно-аппаратные комплексы) должна быть размещена во всех национальных сегментах и интеграционном сегменте интегрированной системы. Территориальное размещение комплексов доверенных третьих сторон необходимо с точки зрения обеспечения соответствия законодательным ограничениям на экспорт криптографических технологий в каждом из государств-членов.</w:t>
      </w:r>
      <w:r>
        <w:br/>
      </w:r>
      <w:r>
        <w:rPr>
          <w:rFonts w:ascii="Times New Roman"/>
          <w:b w:val="false"/>
          <w:i w:val="false"/>
          <w:color w:val="000000"/>
          <w:sz w:val="28"/>
        </w:rPr>
        <w:t>
      Доверенные третьи стороны оказывают участникам межгосударственного информационного обмена услуги по проверке ЭЦП отправителя в криптографическом стандарте юрисдикции отправителя с подписанием квитанции как результата такой проверки. Электронный документ с результатом положительной проверки доверенной третьей стороной признается в юрисдикции получателя равнозначным электронному документу, подписанному собственной ЭЦП отправителя на основе нормы о признании ЭЦП, выданной в соответствии с законодательством другого государства.</w:t>
      </w:r>
      <w:r>
        <w:br/>
      </w:r>
      <w:r>
        <w:rPr>
          <w:rFonts w:ascii="Times New Roman"/>
          <w:b w:val="false"/>
          <w:i w:val="false"/>
          <w:color w:val="000000"/>
          <w:sz w:val="28"/>
        </w:rPr>
        <w:t>
      При построении службы доверенной третьей стороны интегрированной системы необходимо создание юридических условий и договорных связей, соответствующих законодательству государств-членов (в части признания ЭЦП, созданной в другом государстве), а также функциональным особенностям интегрированной системы и порядку предполагаемого взаимодействия.</w:t>
      </w:r>
      <w:r>
        <w:br/>
      </w:r>
      <w:r>
        <w:rPr>
          <w:rFonts w:ascii="Times New Roman"/>
          <w:b w:val="false"/>
          <w:i w:val="false"/>
          <w:color w:val="000000"/>
          <w:sz w:val="28"/>
        </w:rPr>
        <w:t>
      Создание системы юридических условий и договорных связей предполагает разработку и принятие нормативных актов и договоров между участниками информационного обмена.</w:t>
      </w:r>
    </w:p>
    <w:p>
      <w:pPr>
        <w:spacing w:after="0"/>
        <w:ind w:left="0"/>
        <w:jc w:val="both"/>
      </w:pPr>
      <w:r>
        <w:rPr>
          <w:rFonts w:ascii="Times New Roman"/>
          <w:b w:val="false"/>
          <w:i w:val="false"/>
          <w:color w:val="000000"/>
          <w:sz w:val="28"/>
        </w:rPr>
        <w:t>V. Обеспечение юридической значимости при трансграничном</w:t>
      </w:r>
      <w:r>
        <w:br/>
      </w:r>
      <w:r>
        <w:rPr>
          <w:rFonts w:ascii="Times New Roman"/>
          <w:b w:val="false"/>
          <w:i w:val="false"/>
          <w:color w:val="000000"/>
          <w:sz w:val="28"/>
        </w:rPr>
        <w:t>
обмене электронными документами в интегрированной системе</w:t>
      </w:r>
    </w:p>
    <w:p>
      <w:pPr>
        <w:spacing w:after="0"/>
        <w:ind w:left="0"/>
        <w:jc w:val="both"/>
      </w:pPr>
      <w:r>
        <w:rPr>
          <w:rFonts w:ascii="Times New Roman"/>
          <w:b w:val="false"/>
          <w:i w:val="false"/>
          <w:color w:val="000000"/>
          <w:sz w:val="28"/>
        </w:rPr>
        <w:t>1. Общие принципы организации взаимодействия</w:t>
      </w:r>
      <w:r>
        <w:br/>
      </w:r>
      <w:r>
        <w:rPr>
          <w:rFonts w:ascii="Times New Roman"/>
          <w:b w:val="false"/>
          <w:i w:val="false"/>
          <w:color w:val="000000"/>
          <w:sz w:val="28"/>
        </w:rPr>
        <w:t>
участников информационного обмена</w:t>
      </w:r>
    </w:p>
    <w:p>
      <w:pPr>
        <w:spacing w:after="0"/>
        <w:ind w:left="0"/>
        <w:jc w:val="both"/>
      </w:pPr>
      <w:r>
        <w:rPr>
          <w:rFonts w:ascii="Times New Roman"/>
          <w:b w:val="false"/>
          <w:i w:val="false"/>
          <w:color w:val="000000"/>
          <w:sz w:val="28"/>
        </w:rPr>
        <w:t>      Взаимодействие в электронном виде между участниками информационного обмена в интегрированной системе обеспечивается за счет создания и использования интеграционного сегмента Комиссии и национальных сегментов, представляющих собой совокупность защищенной системы передачи данных и интеграционных шлюзов, входящих в состав каждого узла участников информационного обмена.</w:t>
      </w:r>
      <w:r>
        <w:br/>
      </w:r>
      <w:r>
        <w:rPr>
          <w:rFonts w:ascii="Times New Roman"/>
          <w:b w:val="false"/>
          <w:i w:val="false"/>
          <w:color w:val="000000"/>
          <w:sz w:val="28"/>
        </w:rPr>
        <w:t>
      В составе интеграционного и национальных сегментов интегрированной системы должен функционировать свой программноаппаратный комплекс доверенной третьей стороны. Программно-аппаратные комплексы доверенных третьих сторон разрабатываются в рамках работ по созданию интеграционного и национальных сегментов интегрированной системы. Обращение к сервисам конкретной доверенной третьей стороны интегрированной системы осуществляется посредством использования соответствующих интеграционных шлюзов.</w:t>
      </w:r>
      <w:r>
        <w:br/>
      </w:r>
      <w:r>
        <w:rPr>
          <w:rFonts w:ascii="Times New Roman"/>
          <w:b w:val="false"/>
          <w:i w:val="false"/>
          <w:color w:val="000000"/>
          <w:sz w:val="28"/>
        </w:rPr>
        <w:t>
      Программно-аппаратные комплексы доверенных третьих сторон, входящие в состав национальных сегментов, могут также использоваться для решения задач по обеспечению юридической значимости электронных документов, не относящихся к процессам информационного взаимодействия в рамках интегрированной системы.</w:t>
      </w:r>
      <w:r>
        <w:br/>
      </w:r>
      <w:r>
        <w:rPr>
          <w:rFonts w:ascii="Times New Roman"/>
          <w:b w:val="false"/>
          <w:i w:val="false"/>
          <w:color w:val="000000"/>
          <w:sz w:val="28"/>
        </w:rPr>
        <w:t>
      Процесс обеспечения юридической значимости при трансграничном обмене электронными документами в интегрированной системе базируется на следующих основных принципах:</w:t>
      </w:r>
      <w:r>
        <w:br/>
      </w:r>
      <w:r>
        <w:rPr>
          <w:rFonts w:ascii="Times New Roman"/>
          <w:b w:val="false"/>
          <w:i w:val="false"/>
          <w:color w:val="000000"/>
          <w:sz w:val="28"/>
        </w:rPr>
        <w:t>
      признание ЭЦП обеспечивается посредством взаимодействия доверенных третьих сторон государств-членов и Комиссии, предоставляющих участникам информационного обмена услуги по проверке ЭЦП на соответствие установленным требованиям и заверению их электронных документов и ЭЦП путем формирования и проставления доверенной третьей стороной своей ЭЦП с проставлением метки времени совершения операции;</w:t>
      </w:r>
      <w:r>
        <w:br/>
      </w:r>
      <w:r>
        <w:rPr>
          <w:rFonts w:ascii="Times New Roman"/>
          <w:b w:val="false"/>
          <w:i w:val="false"/>
          <w:color w:val="000000"/>
          <w:sz w:val="28"/>
        </w:rPr>
        <w:t>
      отправители (получатели) (пользователи ведомственных информационных систем государств-членов) при подписании и проверке ЭЦП используют криптографические стандарты, предусмотренные законодательством соответствующего государства-члена. Для применения пользователями информационных систем Комиссии используются криптографические стандарты, определенные Советом Комиссии;</w:t>
      </w:r>
      <w:r>
        <w:br/>
      </w:r>
      <w:r>
        <w:rPr>
          <w:rFonts w:ascii="Times New Roman"/>
          <w:b w:val="false"/>
          <w:i w:val="false"/>
          <w:color w:val="000000"/>
          <w:sz w:val="28"/>
        </w:rPr>
        <w:t>
      при взаимодействии между отправителями (получателями) и доверенной третьей стороной, находящимися в одном сегменте государства-члена, используются криптографические стандарты соответствующего государства-члена;</w:t>
      </w:r>
      <w:r>
        <w:br/>
      </w:r>
      <w:r>
        <w:rPr>
          <w:rFonts w:ascii="Times New Roman"/>
          <w:b w:val="false"/>
          <w:i w:val="false"/>
          <w:color w:val="000000"/>
          <w:sz w:val="28"/>
        </w:rPr>
        <w:t>
      при взаимодействии между отправителями (получателями) и сервисами доверенной третьей стороны, находящимися в интеграционном сегменте Комиссии, используется криптографический стандарт, определенный для этих целей Советом Комиссии;</w:t>
      </w:r>
      <w:r>
        <w:br/>
      </w:r>
      <w:r>
        <w:rPr>
          <w:rFonts w:ascii="Times New Roman"/>
          <w:b w:val="false"/>
          <w:i w:val="false"/>
          <w:color w:val="000000"/>
          <w:sz w:val="28"/>
        </w:rPr>
        <w:t>
      при взаимодействии сервисов службы доверенной третьей стороны между собой в технологических целях используется согласованный криптографический стандарт (стандарт службы доверенной третьей стороны), определенный для этих целей Советом Комиссии.</w:t>
      </w:r>
    </w:p>
    <w:p>
      <w:pPr>
        <w:spacing w:after="0"/>
        <w:ind w:left="0"/>
        <w:jc w:val="both"/>
      </w:pPr>
      <w:r>
        <w:rPr>
          <w:rFonts w:ascii="Times New Roman"/>
          <w:b w:val="false"/>
          <w:i w:val="false"/>
          <w:color w:val="000000"/>
          <w:sz w:val="28"/>
        </w:rPr>
        <w:t>2. Признание юридической силы электронных документов</w:t>
      </w:r>
    </w:p>
    <w:p>
      <w:pPr>
        <w:spacing w:after="0"/>
        <w:ind w:left="0"/>
        <w:jc w:val="both"/>
      </w:pPr>
      <w:r>
        <w:rPr>
          <w:rFonts w:ascii="Times New Roman"/>
          <w:b w:val="false"/>
          <w:i w:val="false"/>
          <w:color w:val="000000"/>
          <w:sz w:val="28"/>
        </w:rPr>
        <w:t>      Юридическая сила электронных документов при трансграничном обмене основывается на применении в юрисдикции участника информационного обмена сервисов уполномоченной доверенной третьей стороны (сервисы которой входят в состав службы доверенной третьей стороны интегрированной системы), оказывающей участникам межгосударственного информационного обмена (отправителям и получателям) услуги по заверению или удостоверению их электронной корреспонденции (исходящих или входящих электронных документов) путем проставления ЭЦП доверенной третьей стороной (в стандарте службы доверенной третьей стороны и криптографическом стандарте юрисдикции получателя соответственно) с независимой от отправителя и получателя меткой (штампом) даты и времени. Обязательным условием предоставления указанной услуги является положительный результат проверки программно-аппаратным комплексом доверенной третьей стороны национальной ЭЦП отправителя или ЭЦП доверенной третьей стороны юрисдикции отправителя на электронной корреспонденции.</w:t>
      </w:r>
      <w:r>
        <w:br/>
      </w:r>
      <w:r>
        <w:rPr>
          <w:rFonts w:ascii="Times New Roman"/>
          <w:b w:val="false"/>
          <w:i w:val="false"/>
          <w:color w:val="000000"/>
          <w:sz w:val="28"/>
        </w:rPr>
        <w:t>
      Удостоверенный в установленном порядке электронный документ признается в юрисдикции уполномоченной доверенной третьей стороны получателя равнозначным электронному документу, подписанному собственной ЭЦП отправителя.</w:t>
      </w:r>
      <w:r>
        <w:br/>
      </w:r>
      <w:r>
        <w:rPr>
          <w:rFonts w:ascii="Times New Roman"/>
          <w:b w:val="false"/>
          <w:i w:val="false"/>
          <w:color w:val="000000"/>
          <w:sz w:val="28"/>
        </w:rPr>
        <w:t>
      Уполномоченные доверенные третьи стороны должны признавать юридическую силу электронных документов, исходящих от отправителей, находящихся в юрисдикции государства другой уполномоченной доверенной третьей стороны, если электронные документы подписаны (заверены) ЭЦП другой доверенной третьей стороной, находящейся в юрисдикции государства отправителя.</w:t>
      </w:r>
    </w:p>
    <w:p>
      <w:pPr>
        <w:spacing w:after="0"/>
        <w:ind w:left="0"/>
        <w:jc w:val="both"/>
      </w:pPr>
      <w:r>
        <w:rPr>
          <w:rFonts w:ascii="Times New Roman"/>
          <w:b w:val="false"/>
          <w:i w:val="false"/>
          <w:color w:val="000000"/>
          <w:sz w:val="28"/>
        </w:rPr>
        <w:t>3. Общие требования к электронному документу</w:t>
      </w:r>
    </w:p>
    <w:p>
      <w:pPr>
        <w:spacing w:after="0"/>
        <w:ind w:left="0"/>
        <w:jc w:val="both"/>
      </w:pPr>
      <w:r>
        <w:rPr>
          <w:rFonts w:ascii="Times New Roman"/>
          <w:b w:val="false"/>
          <w:i w:val="false"/>
          <w:color w:val="000000"/>
          <w:sz w:val="28"/>
        </w:rPr>
        <w:t>      Для целей реализации настоящей Концепции должны применяться утверждаемые решением Коллегии Комиссии структура и правила формирования электронных документов и иных электронных сообщений, используемые для обмена информацией в рамках интегрированной системы.</w:t>
      </w:r>
      <w:r>
        <w:br/>
      </w:r>
      <w:r>
        <w:rPr>
          <w:rFonts w:ascii="Times New Roman"/>
          <w:b w:val="false"/>
          <w:i w:val="false"/>
          <w:color w:val="000000"/>
          <w:sz w:val="28"/>
        </w:rPr>
        <w:t>
      В случае если в соответствии с законодательством требуется, чтобы документ или сведения были представлены в письменной форме, или предусматривается наступление определенных юридических последствий в случае несоблюдения письменной формы, это требование считается выполненным путем представления электронного документа, если этот электронный документ оформлен, подписан и защищен (с учетом проверки подписи) в соответствии с принципами взаимодействия участников информационного обмена в интегрированной системе, установленными с учетом положений настоящей Концепции, а содержащаяся в нем информация является доступной для ее раскрытия и последующего использования.</w:t>
      </w:r>
      <w:r>
        <w:br/>
      </w:r>
      <w:r>
        <w:rPr>
          <w:rFonts w:ascii="Times New Roman"/>
          <w:b w:val="false"/>
          <w:i w:val="false"/>
          <w:color w:val="000000"/>
          <w:sz w:val="28"/>
        </w:rPr>
        <w:t>
      Критерием оценки целостности и подлинности электронного документа является положительная проверка ЭЦП, гарантирующая сохранение документированной информации в полном и неизмененном виде.</w:t>
      </w:r>
      <w:r>
        <w:br/>
      </w:r>
      <w:r>
        <w:rPr>
          <w:rFonts w:ascii="Times New Roman"/>
          <w:b w:val="false"/>
          <w:i w:val="false"/>
          <w:color w:val="000000"/>
          <w:sz w:val="28"/>
        </w:rPr>
        <w:t>
      Подписание электронного документа ЭЦП подтверждает его целостность и подлинность.</w:t>
      </w:r>
      <w:r>
        <w:br/>
      </w:r>
      <w:r>
        <w:rPr>
          <w:rFonts w:ascii="Times New Roman"/>
          <w:b w:val="false"/>
          <w:i w:val="false"/>
          <w:color w:val="000000"/>
          <w:sz w:val="28"/>
        </w:rPr>
        <w:t>
      В случае если в соответствии с законодательством или соответствующим соглашением государств-членов требуется обеспечить конфиденциальность документа, информация, содержащаяся в электронном документе, может быть зашифрована (преобразована с использованием средств криптографической защиты информации). Порядок применения средств криптографической защиты информации в таких случаях устанавливается международными договорами в рамках Союза.</w:t>
      </w:r>
    </w:p>
    <w:p>
      <w:pPr>
        <w:spacing w:after="0"/>
        <w:ind w:left="0"/>
        <w:jc w:val="both"/>
      </w:pPr>
      <w:r>
        <w:rPr>
          <w:rFonts w:ascii="Times New Roman"/>
          <w:b w:val="false"/>
          <w:i w:val="false"/>
          <w:color w:val="000000"/>
          <w:sz w:val="28"/>
        </w:rPr>
        <w:t>4. Взаимодействие доверенных третьих</w:t>
      </w:r>
      <w:r>
        <w:br/>
      </w:r>
      <w:r>
        <w:rPr>
          <w:rFonts w:ascii="Times New Roman"/>
          <w:b w:val="false"/>
          <w:i w:val="false"/>
          <w:color w:val="000000"/>
          <w:sz w:val="28"/>
        </w:rPr>
        <w:t>
сторон интегрированной системы</w:t>
      </w:r>
    </w:p>
    <w:p>
      <w:pPr>
        <w:spacing w:after="0"/>
        <w:ind w:left="0"/>
        <w:jc w:val="both"/>
      </w:pPr>
      <w:r>
        <w:rPr>
          <w:rFonts w:ascii="Times New Roman"/>
          <w:b w:val="false"/>
          <w:i w:val="false"/>
          <w:color w:val="000000"/>
          <w:sz w:val="28"/>
        </w:rPr>
        <w:t>      Для целей подписания передаваемых электронных документов отправители подписывают документ ЭЦП, сертификат ключа проверки которой выдан удостоверяющим центром своей юрисдикции. Дальнейшая проверка ЭЦП отправителя осуществляется в порядке взаимодействия доверенной третьей стороны национального сегмента отправителя и удостоверяющего центра отправителя по криптографическим алгоритмам государства отправителя.</w:t>
      </w:r>
      <w:r>
        <w:br/>
      </w:r>
      <w:r>
        <w:rPr>
          <w:rFonts w:ascii="Times New Roman"/>
          <w:b w:val="false"/>
          <w:i w:val="false"/>
          <w:color w:val="000000"/>
          <w:sz w:val="28"/>
        </w:rPr>
        <w:t>
      Результат проверки ЭЦП отправителя оформляется в виде квитанции доверенной третьей стороны национального сегмента, подписанной ЭЦП по стандарту службы доверенной третьей стороны.</w:t>
      </w:r>
      <w:r>
        <w:br/>
      </w:r>
      <w:r>
        <w:rPr>
          <w:rFonts w:ascii="Times New Roman"/>
          <w:b w:val="false"/>
          <w:i w:val="false"/>
          <w:color w:val="000000"/>
          <w:sz w:val="28"/>
        </w:rPr>
        <w:t>
      Доверенная третья сторона национального сегмента получателя по факту получения электронного сообщения проверяет ЭЦП квитанции доверенной третьей стороны национального сегмента отправителя (по криптографическому стандарту службы доверенной третьей стороны) и на основании положительной проверки ЭЦП формирует результат проверки в виде квитанции, подписанной по криптографическому алгоритму и при помощи сертификата ключей подписи удостоверяющего центра страны получателя.</w:t>
      </w:r>
      <w:r>
        <w:br/>
      </w:r>
      <w:r>
        <w:rPr>
          <w:rFonts w:ascii="Times New Roman"/>
          <w:b w:val="false"/>
          <w:i w:val="false"/>
          <w:color w:val="000000"/>
          <w:sz w:val="28"/>
        </w:rPr>
        <w:t>
      Получатель проверяет ЭЦП доверенной третьей стороны своего национального сегмента в установленном порядке.</w:t>
      </w:r>
      <w:r>
        <w:br/>
      </w:r>
      <w:r>
        <w:rPr>
          <w:rFonts w:ascii="Times New Roman"/>
          <w:b w:val="false"/>
          <w:i w:val="false"/>
          <w:color w:val="000000"/>
          <w:sz w:val="28"/>
        </w:rPr>
        <w:t>
      Реализация системы запросов к доверенной третьей стороне осуществляется интеграционными шлюзами интегрированной системы.</w:t>
      </w:r>
      <w:r>
        <w:br/>
      </w:r>
      <w:r>
        <w:rPr>
          <w:rFonts w:ascii="Times New Roman"/>
          <w:b w:val="false"/>
          <w:i w:val="false"/>
          <w:color w:val="000000"/>
          <w:sz w:val="28"/>
        </w:rPr>
        <w:t>
      ЭЦП квитанций результатов проверок доверенной третьей стороной каждого сегмента удостоверяют юридическую значимость электронного документа на каждом этапе информационного обмена.</w:t>
      </w:r>
      <w:r>
        <w:br/>
      </w:r>
      <w:r>
        <w:rPr>
          <w:rFonts w:ascii="Times New Roman"/>
          <w:b w:val="false"/>
          <w:i w:val="false"/>
          <w:color w:val="000000"/>
          <w:sz w:val="28"/>
        </w:rPr>
        <w:t>
      Орган или юридическое лицо, реализующие услуги доверенной третьей стороны, при исполнении процедур проверки ЭЦП действуют в соответствии с правилами, установленными в интегрированной системе.</w:t>
      </w:r>
      <w:r>
        <w:br/>
      </w:r>
      <w:r>
        <w:rPr>
          <w:rFonts w:ascii="Times New Roman"/>
          <w:b w:val="false"/>
          <w:i w:val="false"/>
          <w:color w:val="000000"/>
          <w:sz w:val="28"/>
        </w:rPr>
        <w:t>
      Деятельность всех доверенных третьих сторон в интегрированной системе должна быть синхронизирована и урегулирована на нормативном и договорном уровнях. Взаимодействие доверенных третьих сторон, создающих условия для признания юридической значимости полученного электронного документа, обеспечивает создание ядра трансграничного пространства доверия.</w:t>
      </w:r>
    </w:p>
    <w:p>
      <w:pPr>
        <w:spacing w:after="0"/>
        <w:ind w:left="0"/>
        <w:jc w:val="both"/>
      </w:pPr>
      <w:r>
        <w:rPr>
          <w:rFonts w:ascii="Times New Roman"/>
          <w:b w:val="false"/>
          <w:i w:val="false"/>
          <w:color w:val="000000"/>
          <w:sz w:val="28"/>
        </w:rPr>
        <w:t>5. Время отправления и получения электронных</w:t>
      </w:r>
      <w:r>
        <w:br/>
      </w:r>
      <w:r>
        <w:rPr>
          <w:rFonts w:ascii="Times New Roman"/>
          <w:b w:val="false"/>
          <w:i w:val="false"/>
          <w:color w:val="000000"/>
          <w:sz w:val="28"/>
        </w:rPr>
        <w:t>
документов в интегрированной системе</w:t>
      </w:r>
    </w:p>
    <w:p>
      <w:pPr>
        <w:spacing w:after="0"/>
        <w:ind w:left="0"/>
        <w:jc w:val="both"/>
      </w:pPr>
      <w:r>
        <w:rPr>
          <w:rFonts w:ascii="Times New Roman"/>
          <w:b w:val="false"/>
          <w:i w:val="false"/>
          <w:color w:val="000000"/>
          <w:sz w:val="28"/>
        </w:rPr>
        <w:t>      Временем отправления электронного документа в интегрированную систему, равно как и подтверждения подлинности электронного документа, является момент, когда доверенная третья сторона национального сегмента отправителя осуществила</w:t>
      </w:r>
      <w:r>
        <w:br/>
      </w:r>
      <w:r>
        <w:rPr>
          <w:rFonts w:ascii="Times New Roman"/>
          <w:b w:val="false"/>
          <w:i w:val="false"/>
          <w:color w:val="000000"/>
          <w:sz w:val="28"/>
        </w:rPr>
        <w:t>
проверку ЭЦП отправителя и подписала соответствующую квитанцию своей ЭЦП.</w:t>
      </w:r>
      <w:r>
        <w:br/>
      </w:r>
      <w:r>
        <w:rPr>
          <w:rFonts w:ascii="Times New Roman"/>
          <w:b w:val="false"/>
          <w:i w:val="false"/>
          <w:color w:val="000000"/>
          <w:sz w:val="28"/>
        </w:rPr>
        <w:t>
      Временем получения в интегрированной системе и подтверждения подлинности электронного документа является момент, когда уполномоченная доверенная третья сторона национального сегмента получателя осуществила проверку ЭЦП доверенной третьей стороны национального сегмента отправителя и подписала соответствующую квитанцию своей ЭЦП.</w:t>
      </w:r>
      <w:r>
        <w:br/>
      </w:r>
      <w:r>
        <w:rPr>
          <w:rFonts w:ascii="Times New Roman"/>
          <w:b w:val="false"/>
          <w:i w:val="false"/>
          <w:color w:val="000000"/>
          <w:sz w:val="28"/>
        </w:rPr>
        <w:t>
      Единый источник точного времени, используемый для определения времени в сервисах доверенных третьих сторон, согласовывается уполномоченными органами государств-членов.</w:t>
      </w:r>
    </w:p>
    <w:p>
      <w:pPr>
        <w:spacing w:after="0"/>
        <w:ind w:left="0"/>
        <w:jc w:val="both"/>
      </w:pPr>
      <w:r>
        <w:rPr>
          <w:rFonts w:ascii="Times New Roman"/>
          <w:b w:val="false"/>
          <w:i w:val="false"/>
          <w:color w:val="000000"/>
          <w:sz w:val="28"/>
        </w:rPr>
        <w:t>6. Деятельность службы доверенной третьей</w:t>
      </w:r>
      <w:r>
        <w:br/>
      </w:r>
      <w:r>
        <w:rPr>
          <w:rFonts w:ascii="Times New Roman"/>
          <w:b w:val="false"/>
          <w:i w:val="false"/>
          <w:color w:val="000000"/>
          <w:sz w:val="28"/>
        </w:rPr>
        <w:t>
стороны интегрированной системы</w:t>
      </w:r>
    </w:p>
    <w:p>
      <w:pPr>
        <w:spacing w:after="0"/>
        <w:ind w:left="0"/>
        <w:jc w:val="both"/>
      </w:pPr>
      <w:r>
        <w:rPr>
          <w:rFonts w:ascii="Times New Roman"/>
          <w:b w:val="false"/>
          <w:i w:val="false"/>
          <w:color w:val="000000"/>
          <w:sz w:val="28"/>
        </w:rPr>
        <w:t>      Деятельность службы доверенной третьей стороны интегрированной системы осуществляется в соответствии с требованиями законодательства государств-членов, Договора о Евразийском экономическом союзе от 29 мая 2014 года, настоящей Концепции, а также нормативно-технических документов, которые могут разрабатываться Комиссией при взаимодействии с уполномоченными органами государств-членов и в которых определяется порядок технического (технологического) сопряжения уполномоченных доверенных третьих сторон.</w:t>
      </w:r>
      <w:r>
        <w:br/>
      </w:r>
      <w:r>
        <w:rPr>
          <w:rFonts w:ascii="Times New Roman"/>
          <w:b w:val="false"/>
          <w:i w:val="false"/>
          <w:color w:val="000000"/>
          <w:sz w:val="28"/>
        </w:rPr>
        <w:t>
      Уполномоченные органы государств-членов и Комиссия определяют и назначают в установленном порядке уполномоченных операторов доверенных третьих сторон интеграционного и национальных сегментов интегрированной системы. Взаимодействие операторов доверенных третьих сторон между собой (в том числе права, обязанности и ответственность), согласование порядка архивирования и депозитарного хранения контрольных сведений о работе доверенной третьей стороны могут осуществляться в соответствии с заключаемым безвозмездным договором между ними.</w:t>
      </w:r>
      <w:r>
        <w:br/>
      </w:r>
      <w:r>
        <w:rPr>
          <w:rFonts w:ascii="Times New Roman"/>
          <w:b w:val="false"/>
          <w:i w:val="false"/>
          <w:color w:val="000000"/>
          <w:sz w:val="28"/>
        </w:rPr>
        <w:t>
      Доверенные третьи стороны интегрированной системы руководствуются законодательством государств-членов в сфере применения, обмена и использования электронных документов и их ЭЦП, настоящей Концепцией и положением о доверенной третьей стороне, утверждаемым учредителем этой уполномоченной доверенной третьей стороны.</w:t>
      </w:r>
      <w:r>
        <w:br/>
      </w:r>
      <w:r>
        <w:rPr>
          <w:rFonts w:ascii="Times New Roman"/>
          <w:b w:val="false"/>
          <w:i w:val="false"/>
          <w:color w:val="000000"/>
          <w:sz w:val="28"/>
        </w:rPr>
        <w:t>
      Требования к развитию и функционированию трансграничного пространства доверия, в том числе к операторам доверенных третьих сторон интеграционного и национальных сегментов интегрированной системы, разрабатываются Комиссией во взаимодействии с уполномоченными органами государств-членов.</w:t>
      </w:r>
    </w:p>
    <w:p>
      <w:pPr>
        <w:spacing w:after="0"/>
        <w:ind w:left="0"/>
        <w:jc w:val="both"/>
      </w:pPr>
      <w:r>
        <w:rPr>
          <w:rFonts w:ascii="Times New Roman"/>
          <w:b w:val="false"/>
          <w:i w:val="false"/>
          <w:color w:val="000000"/>
          <w:sz w:val="28"/>
        </w:rPr>
        <w:t>7. Легитимность услуг доверенной третьей стороны</w:t>
      </w:r>
    </w:p>
    <w:p>
      <w:pPr>
        <w:spacing w:after="0"/>
        <w:ind w:left="0"/>
        <w:jc w:val="both"/>
      </w:pPr>
      <w:r>
        <w:rPr>
          <w:rFonts w:ascii="Times New Roman"/>
          <w:b w:val="false"/>
          <w:i w:val="false"/>
          <w:color w:val="000000"/>
          <w:sz w:val="28"/>
        </w:rPr>
        <w:t>      Легитимность услуг уполномоченных доверенных третьих сторон при межгосударственном информационном обмене в рамках функционирования интегрированной системы обеспечивается:</w:t>
      </w:r>
      <w:r>
        <w:br/>
      </w:r>
      <w:r>
        <w:rPr>
          <w:rFonts w:ascii="Times New Roman"/>
          <w:b w:val="false"/>
          <w:i w:val="false"/>
          <w:color w:val="000000"/>
          <w:sz w:val="28"/>
        </w:rPr>
        <w:t>
      государственными полномочиями и контролем ведения деятельности и исполнения функций службы доверенной третьей стороны интегрированной системы со стороны Комиссии и уполномоченных органов государств-членов;</w:t>
      </w:r>
      <w:r>
        <w:br/>
      </w:r>
      <w:r>
        <w:rPr>
          <w:rFonts w:ascii="Times New Roman"/>
          <w:b w:val="false"/>
          <w:i w:val="false"/>
          <w:color w:val="000000"/>
          <w:sz w:val="28"/>
        </w:rPr>
        <w:t>
      обеспечением конфиденциальности передаваемых электронных документов;</w:t>
      </w:r>
      <w:r>
        <w:br/>
      </w:r>
      <w:r>
        <w:rPr>
          <w:rFonts w:ascii="Times New Roman"/>
          <w:b w:val="false"/>
          <w:i w:val="false"/>
          <w:color w:val="000000"/>
          <w:sz w:val="28"/>
        </w:rPr>
        <w:t>
      применением сертифицированных в соответствии с законодательством государств-членов программно-аппаратных средств и способов защиты;</w:t>
      </w:r>
      <w:r>
        <w:br/>
      </w:r>
      <w:r>
        <w:rPr>
          <w:rFonts w:ascii="Times New Roman"/>
          <w:b w:val="false"/>
          <w:i w:val="false"/>
          <w:color w:val="000000"/>
          <w:sz w:val="28"/>
        </w:rPr>
        <w:t>
      комплексом технических, организационных и правовых мероприятий и процедур (политик);</w:t>
      </w:r>
      <w:r>
        <w:br/>
      </w:r>
      <w:r>
        <w:rPr>
          <w:rFonts w:ascii="Times New Roman"/>
          <w:b w:val="false"/>
          <w:i w:val="false"/>
          <w:color w:val="000000"/>
          <w:sz w:val="28"/>
        </w:rPr>
        <w:t>
      договорными обязательствами и ответственностью всех участников в обеспечении межгосударственного информационного взаимодействия;</w:t>
      </w:r>
      <w:r>
        <w:br/>
      </w:r>
      <w:r>
        <w:rPr>
          <w:rFonts w:ascii="Times New Roman"/>
          <w:b w:val="false"/>
          <w:i w:val="false"/>
          <w:color w:val="000000"/>
          <w:sz w:val="28"/>
        </w:rPr>
        <w:t>
      управлением доступа к реестрам, базам данных, депозитариям, архивным документам, содержащим историю оказанных услуг по обработке электронных документов.</w:t>
      </w:r>
    </w:p>
    <w:p>
      <w:pPr>
        <w:spacing w:after="0"/>
        <w:ind w:left="0"/>
        <w:jc w:val="both"/>
      </w:pPr>
      <w:r>
        <w:rPr>
          <w:rFonts w:ascii="Times New Roman"/>
          <w:b w:val="false"/>
          <w:i w:val="false"/>
          <w:color w:val="000000"/>
          <w:sz w:val="28"/>
        </w:rPr>
        <w:t>8. Функции службы доверенной третьей стороны</w:t>
      </w:r>
    </w:p>
    <w:p>
      <w:pPr>
        <w:spacing w:after="0"/>
        <w:ind w:left="0"/>
        <w:jc w:val="both"/>
      </w:pPr>
      <w:r>
        <w:rPr>
          <w:rFonts w:ascii="Times New Roman"/>
          <w:b w:val="false"/>
          <w:i w:val="false"/>
          <w:color w:val="000000"/>
          <w:sz w:val="28"/>
        </w:rPr>
        <w:t>      Для обеспечения гарантий доверия и правомерности применения электронных документов при межгосударственном взаимодействии участников информационного обмена доверенные третьи стороны (интеграционного сегмента и национальных сегментов) интегрированной системы должны обеспечивать выполнение следующих основных функций службы доверенной третьей стороны:</w:t>
      </w:r>
      <w:r>
        <w:br/>
      </w:r>
      <w:r>
        <w:rPr>
          <w:rFonts w:ascii="Times New Roman"/>
          <w:b w:val="false"/>
          <w:i w:val="false"/>
          <w:color w:val="000000"/>
          <w:sz w:val="28"/>
        </w:rPr>
        <w:t>
      заверение и (или) удостоверение исходящих и (или) входящих электронных документов и их ЭЦП;</w:t>
      </w:r>
      <w:r>
        <w:br/>
      </w:r>
      <w:r>
        <w:rPr>
          <w:rFonts w:ascii="Times New Roman"/>
          <w:b w:val="false"/>
          <w:i w:val="false"/>
          <w:color w:val="000000"/>
          <w:sz w:val="28"/>
        </w:rPr>
        <w:t>
      проверка подлинности и целостности электронных документов</w:t>
      </w:r>
      <w:r>
        <w:br/>
      </w:r>
      <w:r>
        <w:rPr>
          <w:rFonts w:ascii="Times New Roman"/>
          <w:b w:val="false"/>
          <w:i w:val="false"/>
          <w:color w:val="000000"/>
          <w:sz w:val="28"/>
        </w:rPr>
        <w:t>
и ЭЦП на соответствие требованиям законодательства государства нахождения уполномоченной доверенной третьей стороны и стандарта службы доверенной третьей стороны;</w:t>
      </w:r>
      <w:r>
        <w:br/>
      </w:r>
      <w:r>
        <w:rPr>
          <w:rFonts w:ascii="Times New Roman"/>
          <w:b w:val="false"/>
          <w:i w:val="false"/>
          <w:color w:val="000000"/>
          <w:sz w:val="28"/>
        </w:rPr>
        <w:t>
      исполнение иных действий, необходимых для поддержания деятельности службы доверенной третьей стороны интегрированной системы.</w:t>
      </w:r>
    </w:p>
    <w:p>
      <w:pPr>
        <w:spacing w:after="0"/>
        <w:ind w:left="0"/>
        <w:jc w:val="both"/>
      </w:pPr>
      <w:r>
        <w:rPr>
          <w:rFonts w:ascii="Times New Roman"/>
          <w:b w:val="false"/>
          <w:i w:val="false"/>
          <w:color w:val="000000"/>
          <w:sz w:val="28"/>
        </w:rPr>
        <w:t>VI. Реализация Концепции</w:t>
      </w:r>
    </w:p>
    <w:p>
      <w:pPr>
        <w:spacing w:after="0"/>
        <w:ind w:left="0"/>
        <w:jc w:val="both"/>
      </w:pPr>
      <w:r>
        <w:rPr>
          <w:rFonts w:ascii="Times New Roman"/>
          <w:b w:val="false"/>
          <w:i w:val="false"/>
          <w:color w:val="000000"/>
          <w:sz w:val="28"/>
        </w:rPr>
        <w:t>1. Правовые основы реализации Концепции</w:t>
      </w:r>
    </w:p>
    <w:p>
      <w:pPr>
        <w:spacing w:after="0"/>
        <w:ind w:left="0"/>
        <w:jc w:val="both"/>
      </w:pPr>
      <w:r>
        <w:rPr>
          <w:rFonts w:ascii="Times New Roman"/>
          <w:b w:val="false"/>
          <w:i w:val="false"/>
          <w:color w:val="000000"/>
          <w:sz w:val="28"/>
        </w:rPr>
        <w:t>      В целях реализации настоящей Концепции должны быть разработаны и приняты соответствующие документы, направленные на унификацию правовых требований к операторам доверенных третьих сторон и порядку их деятельности, которые в дальнейшем могут быть рекомендованы к имплементации в законодательство государств-членов. В состав таких документов могут входить:</w:t>
      </w:r>
      <w:r>
        <w:br/>
      </w:r>
      <w:r>
        <w:rPr>
          <w:rFonts w:ascii="Times New Roman"/>
          <w:b w:val="false"/>
          <w:i w:val="false"/>
          <w:color w:val="000000"/>
          <w:sz w:val="28"/>
        </w:rPr>
        <w:t>
      межправительственное соглашение о трансграничном электронном взаимодействии государств-членов и Комиссии;</w:t>
      </w:r>
      <w:r>
        <w:br/>
      </w:r>
      <w:r>
        <w:rPr>
          <w:rFonts w:ascii="Times New Roman"/>
          <w:b w:val="false"/>
          <w:i w:val="false"/>
          <w:color w:val="000000"/>
          <w:sz w:val="28"/>
        </w:rPr>
        <w:t>
      модельный кодекс института международного электронного нотариата на основе сервисов и служб доверенных третьих сторон государств-членов;</w:t>
      </w:r>
      <w:r>
        <w:br/>
      </w:r>
      <w:r>
        <w:rPr>
          <w:rFonts w:ascii="Times New Roman"/>
          <w:b w:val="false"/>
          <w:i w:val="false"/>
          <w:color w:val="000000"/>
          <w:sz w:val="28"/>
        </w:rPr>
        <w:t>
      положение о правовом статусе доверенной третьей стороны Комиссии;</w:t>
      </w:r>
      <w:r>
        <w:br/>
      </w:r>
      <w:r>
        <w:rPr>
          <w:rFonts w:ascii="Times New Roman"/>
          <w:b w:val="false"/>
          <w:i w:val="false"/>
          <w:color w:val="000000"/>
          <w:sz w:val="28"/>
        </w:rPr>
        <w:t>
      регламент доверенной третьей стороны Комиссии;</w:t>
      </w:r>
      <w:r>
        <w:br/>
      </w:r>
      <w:r>
        <w:rPr>
          <w:rFonts w:ascii="Times New Roman"/>
          <w:b w:val="false"/>
          <w:i w:val="false"/>
          <w:color w:val="000000"/>
          <w:sz w:val="28"/>
        </w:rPr>
        <w:t>
      положение об обмене электронными документами при трансграничном взаимодействии органов государственной власти государств-членов между собой и с Комиссией.</w:t>
      </w:r>
      <w:r>
        <w:br/>
      </w:r>
      <w:r>
        <w:rPr>
          <w:rFonts w:ascii="Times New Roman"/>
          <w:b w:val="false"/>
          <w:i w:val="false"/>
          <w:color w:val="000000"/>
          <w:sz w:val="28"/>
        </w:rPr>
        <w:t>
      В целях обеспечения функционирования службы доверенной третьей стороны интегрированной системы Комиссией принимаются нормативно-технические документы, определяющие технологию, регламенты, форматы и структуры данных, необходимые для реализации трансграничной передачи электронных документов с обеспечением их юридической значимости между информационными системами государств-членов.</w:t>
      </w:r>
    </w:p>
    <w:p>
      <w:pPr>
        <w:spacing w:after="0"/>
        <w:ind w:left="0"/>
        <w:jc w:val="both"/>
      </w:pPr>
      <w:r>
        <w:rPr>
          <w:rFonts w:ascii="Times New Roman"/>
          <w:b w:val="false"/>
          <w:i w:val="false"/>
          <w:color w:val="000000"/>
          <w:sz w:val="28"/>
        </w:rPr>
        <w:t>2. Электронный реестр</w:t>
      </w:r>
    </w:p>
    <w:p>
      <w:pPr>
        <w:spacing w:after="0"/>
        <w:ind w:left="0"/>
        <w:jc w:val="both"/>
      </w:pPr>
      <w:r>
        <w:rPr>
          <w:rFonts w:ascii="Times New Roman"/>
          <w:b w:val="false"/>
          <w:i w:val="false"/>
          <w:color w:val="000000"/>
          <w:sz w:val="28"/>
        </w:rPr>
        <w:t>      Доверенные третьи стороны интегрированной системы ведут и поддерживают в актуальном и безопасном состоянии электронный реестр (базу данных), в котором регистрируется каждый факт заверения (удостоверения) электронного документа и формирования ЭЦП.</w:t>
      </w:r>
    </w:p>
    <w:p>
      <w:pPr>
        <w:spacing w:after="0"/>
        <w:ind w:left="0"/>
        <w:jc w:val="both"/>
      </w:pPr>
      <w:r>
        <w:rPr>
          <w:rFonts w:ascii="Times New Roman"/>
          <w:b w:val="false"/>
          <w:i w:val="false"/>
          <w:color w:val="000000"/>
          <w:sz w:val="28"/>
        </w:rPr>
        <w:t>3. Удостоверяющий центр Комиссии</w:t>
      </w:r>
    </w:p>
    <w:p>
      <w:pPr>
        <w:spacing w:after="0"/>
        <w:ind w:left="0"/>
        <w:jc w:val="both"/>
      </w:pPr>
      <w:r>
        <w:rPr>
          <w:rFonts w:ascii="Times New Roman"/>
          <w:b w:val="false"/>
          <w:i w:val="false"/>
          <w:color w:val="000000"/>
          <w:sz w:val="28"/>
        </w:rPr>
        <w:t>      В целях обеспечения сертификатами ключей подписи уполномоченных доверенных третьих сторон интеграционного и национальных сегментов интегрированной системы, а также членов Коллегии Комиссии и сотрудников Комиссии создается удостоверяющий центр Комиссии. Обеспечение доверенной третьей стороны национальных сегментов сертификатами ключей подписи удостоверяющего центра Комиссии позволит сформировать единую сеть признания сертификатов ЭЦП доверенной третьей стороны на трансграничном уровне на основе единых стандартов сертифицированных криптографических алгоритмов, протоколов и форматов, что в том числе обеспечит повышение уровня информационной безопасности в сфере административных правоотношений между уполномоченными органами государств-членов и Комиссии за счет явного ограничения действий с применением ключа ЭЦП (через атрибуты выдаваемых сертификатов) и единой системы учета отозванных сертификатов, а также позволит сократить затраты на модернизацию интегрированной системы при присоединении к Союзу новых членов.</w:t>
      </w:r>
      <w:r>
        <w:br/>
      </w:r>
      <w:r>
        <w:rPr>
          <w:rFonts w:ascii="Times New Roman"/>
          <w:b w:val="false"/>
          <w:i w:val="false"/>
          <w:color w:val="000000"/>
          <w:sz w:val="28"/>
        </w:rPr>
        <w:t>
      Удостоверяющий центр Комиссии создается на основе Инфраструктуры открытых ключей (Public Key Infrastructure) в соответствии с рекомендациями X.509 Public Key Infrastructure.</w:t>
      </w:r>
      <w:r>
        <w:br/>
      </w:r>
      <w:r>
        <w:rPr>
          <w:rFonts w:ascii="Times New Roman"/>
          <w:b w:val="false"/>
          <w:i w:val="false"/>
          <w:color w:val="000000"/>
          <w:sz w:val="28"/>
        </w:rPr>
        <w:t>
      Необходимые для функционирования удостоверяющего центра Комиссии документы утверждаются Председателем Коллегии Комиссии.</w:t>
      </w:r>
    </w:p>
    <w:p>
      <w:pPr>
        <w:spacing w:after="0"/>
        <w:ind w:left="0"/>
        <w:jc w:val="both"/>
      </w:pPr>
      <w:r>
        <w:rPr>
          <w:rFonts w:ascii="Times New Roman"/>
          <w:b w:val="false"/>
          <w:i w:val="false"/>
          <w:color w:val="000000"/>
          <w:sz w:val="28"/>
        </w:rPr>
        <w:t>4. Средства криптографической поддержки</w:t>
      </w:r>
    </w:p>
    <w:p>
      <w:pPr>
        <w:spacing w:after="0"/>
        <w:ind w:left="0"/>
        <w:jc w:val="both"/>
      </w:pPr>
      <w:r>
        <w:rPr>
          <w:rFonts w:ascii="Times New Roman"/>
          <w:b w:val="false"/>
          <w:i w:val="false"/>
          <w:color w:val="000000"/>
          <w:sz w:val="28"/>
        </w:rPr>
        <w:t>      Для использования в целях, определенных настоящей Концепцией, в части технологического взаимодействия уполномоченных доверенных третьих сторон между собой применяются криптографические стандарты ЭЦП, определенные для этих целей Советом Комиссии.</w:t>
      </w:r>
      <w:r>
        <w:br/>
      </w:r>
      <w:r>
        <w:rPr>
          <w:rFonts w:ascii="Times New Roman"/>
          <w:b w:val="false"/>
          <w:i w:val="false"/>
          <w:color w:val="000000"/>
          <w:sz w:val="28"/>
        </w:rPr>
        <w:t>
      Для обеспечения деятельности Комиссии и функционирования удостоверяющего центра Комиссии применяются криптографические стандарты ЭЦП, определенные для этих целей Советом Комиссии.</w:t>
      </w:r>
    </w:p>
    <w:p>
      <w:pPr>
        <w:spacing w:after="0"/>
        <w:ind w:left="0"/>
        <w:jc w:val="both"/>
      </w:pPr>
      <w:r>
        <w:rPr>
          <w:rFonts w:ascii="Times New Roman"/>
          <w:b w:val="false"/>
          <w:i w:val="false"/>
          <w:color w:val="000000"/>
          <w:sz w:val="28"/>
        </w:rPr>
        <w:t>VII. Заключительные положения</w:t>
      </w:r>
    </w:p>
    <w:p>
      <w:pPr>
        <w:spacing w:after="0"/>
        <w:ind w:left="0"/>
        <w:jc w:val="both"/>
      </w:pPr>
      <w:r>
        <w:rPr>
          <w:rFonts w:ascii="Times New Roman"/>
          <w:b w:val="false"/>
          <w:i w:val="false"/>
          <w:color w:val="000000"/>
          <w:sz w:val="28"/>
        </w:rPr>
        <w:t>      От реализации принципов и подходов, содержащихся в настоящей Концепции, ожидаются следующие результаты:</w:t>
      </w:r>
      <w:r>
        <w:br/>
      </w:r>
      <w:r>
        <w:rPr>
          <w:rFonts w:ascii="Times New Roman"/>
          <w:b w:val="false"/>
          <w:i w:val="false"/>
          <w:color w:val="000000"/>
          <w:sz w:val="28"/>
        </w:rPr>
        <w:t>
      совершенствование нормативно-правовой базы Союза;</w:t>
      </w:r>
      <w:r>
        <w:br/>
      </w:r>
      <w:r>
        <w:rPr>
          <w:rFonts w:ascii="Times New Roman"/>
          <w:b w:val="false"/>
          <w:i w:val="false"/>
          <w:color w:val="000000"/>
          <w:sz w:val="28"/>
        </w:rPr>
        <w:t>
      минимизация рисков оспаривания электронных документов, передаваемых в рамках интегрированной системы;</w:t>
      </w:r>
      <w:r>
        <w:br/>
      </w:r>
      <w:r>
        <w:rPr>
          <w:rFonts w:ascii="Times New Roman"/>
          <w:b w:val="false"/>
          <w:i w:val="false"/>
          <w:color w:val="000000"/>
          <w:sz w:val="28"/>
        </w:rPr>
        <w:t>
      создание инфраструктуры для реализации юридически значимого электронного взаимодействия на основе использования международных стандартов и современных информационных технологий.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